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DD4D7B5" w:rsidP="3DD4D7B5" w:rsidRDefault="3DD4D7B5" w14:paraId="2B64609D" w14:textId="3AC3CB28">
      <w:pPr>
        <w:jc w:val="center"/>
        <w:rPr>
          <w:rFonts w:ascii="Cambria" w:hAnsi="Cambria" w:asciiTheme="majorAscii" w:hAnsiTheme="majorAscii"/>
          <w:b w:val="1"/>
          <w:bCs w:val="1"/>
          <w:color w:val="0070C0"/>
          <w:sz w:val="28"/>
          <w:szCs w:val="28"/>
        </w:rPr>
      </w:pPr>
    </w:p>
    <w:p w:rsidR="00C671F9" w:rsidP="00F74662" w:rsidRDefault="00986AC0" w14:paraId="55ABD3CD" w14:textId="3C538FBE">
      <w:pPr>
        <w:jc w:val="center"/>
        <w:rPr>
          <w:rFonts w:asciiTheme="majorHAnsi" w:hAnsiTheme="majorHAnsi"/>
          <w:b/>
          <w:color w:val="0070C0"/>
          <w:sz w:val="28"/>
          <w:szCs w:val="28"/>
        </w:rPr>
      </w:pPr>
      <w:r>
        <w:rPr>
          <w:rFonts w:asciiTheme="majorHAnsi" w:hAnsiTheme="majorHAnsi"/>
          <w:b/>
          <w:color w:val="0070C0"/>
          <w:sz w:val="28"/>
          <w:szCs w:val="28"/>
        </w:rPr>
        <w:t xml:space="preserve">REFERRAL </w:t>
      </w:r>
      <w:proofErr w:type="gramStart"/>
      <w:r>
        <w:rPr>
          <w:rFonts w:asciiTheme="majorHAnsi" w:hAnsiTheme="majorHAnsi"/>
          <w:b/>
          <w:color w:val="0070C0"/>
          <w:sz w:val="28"/>
          <w:szCs w:val="28"/>
        </w:rPr>
        <w:t>CRITERIA  AND</w:t>
      </w:r>
      <w:proofErr w:type="gramEnd"/>
      <w:r>
        <w:rPr>
          <w:rFonts w:asciiTheme="majorHAnsi" w:hAnsiTheme="majorHAnsi"/>
          <w:b/>
          <w:color w:val="0070C0"/>
          <w:sz w:val="28"/>
          <w:szCs w:val="28"/>
        </w:rPr>
        <w:t xml:space="preserve"> </w:t>
      </w:r>
      <w:r w:rsidR="00C671F9">
        <w:rPr>
          <w:rFonts w:asciiTheme="majorHAnsi" w:hAnsiTheme="majorHAnsi"/>
          <w:b/>
          <w:color w:val="0070C0"/>
          <w:sz w:val="28"/>
          <w:szCs w:val="28"/>
        </w:rPr>
        <w:t>1</w:t>
      </w:r>
      <w:r w:rsidRPr="00C671F9" w:rsidR="00C671F9">
        <w:rPr>
          <w:rFonts w:asciiTheme="majorHAnsi" w:hAnsiTheme="majorHAnsi"/>
          <w:b/>
          <w:color w:val="0070C0"/>
          <w:sz w:val="28"/>
          <w:szCs w:val="28"/>
          <w:vertAlign w:val="superscript"/>
        </w:rPr>
        <w:t>st</w:t>
      </w:r>
      <w:r w:rsidR="00C671F9">
        <w:rPr>
          <w:rFonts w:asciiTheme="majorHAnsi" w:hAnsiTheme="majorHAnsi"/>
          <w:b/>
          <w:color w:val="0070C0"/>
          <w:sz w:val="28"/>
          <w:szCs w:val="28"/>
        </w:rPr>
        <w:t xml:space="preserve"> STEPS PRIOR TO REFERRAL GUIDANCE  </w:t>
      </w:r>
    </w:p>
    <w:p w:rsidRPr="00066F27" w:rsidR="00F74662" w:rsidP="621A6DB4" w:rsidRDefault="00F74662" w14:paraId="4EA85924" w14:textId="3B5BC83D">
      <w:pPr>
        <w:jc w:val="center"/>
        <w:rPr>
          <w:rFonts w:ascii="Cambria" w:hAnsi="Cambria" w:asciiTheme="majorAscii" w:hAnsiTheme="majorAscii"/>
          <w:b w:val="1"/>
          <w:bCs w:val="1"/>
          <w:color w:val="0070C0"/>
          <w:sz w:val="28"/>
          <w:szCs w:val="28"/>
        </w:rPr>
      </w:pPr>
      <w:r w:rsidRPr="621A6DB4" w:rsidR="00F74662">
        <w:rPr>
          <w:rFonts w:ascii="Cambria" w:hAnsi="Cambria" w:asciiTheme="majorAscii" w:hAnsiTheme="majorAscii"/>
          <w:b w:val="1"/>
          <w:bCs w:val="1"/>
          <w:color w:val="0070C0"/>
          <w:sz w:val="28"/>
          <w:szCs w:val="28"/>
        </w:rPr>
        <w:t xml:space="preserve"> </w:t>
      </w:r>
      <w:r w:rsidRPr="621A6DB4" w:rsidR="00E8132A">
        <w:rPr>
          <w:rFonts w:ascii="Cambria" w:hAnsi="Cambria" w:asciiTheme="majorAscii" w:hAnsiTheme="majorAscii"/>
          <w:b w:val="1"/>
          <w:bCs w:val="1"/>
          <w:color w:val="0070C0"/>
          <w:sz w:val="28"/>
          <w:szCs w:val="28"/>
        </w:rPr>
        <w:t>COMMUNITY</w:t>
      </w:r>
      <w:r w:rsidRPr="621A6DB4" w:rsidR="0C6D6239">
        <w:rPr>
          <w:rFonts w:ascii="Cambria" w:hAnsi="Cambria" w:asciiTheme="majorAscii" w:hAnsiTheme="majorAscii"/>
          <w:b w:val="1"/>
          <w:bCs w:val="1"/>
          <w:color w:val="0070C0"/>
          <w:sz w:val="28"/>
          <w:szCs w:val="28"/>
        </w:rPr>
        <w:t xml:space="preserve"> &amp;</w:t>
      </w:r>
      <w:r w:rsidRPr="621A6DB4" w:rsidR="00E8132A">
        <w:rPr>
          <w:rFonts w:ascii="Cambria" w:hAnsi="Cambria" w:asciiTheme="majorAscii" w:hAnsiTheme="majorAscii"/>
          <w:b w:val="1"/>
          <w:bCs w:val="1"/>
          <w:color w:val="0070C0"/>
          <w:sz w:val="28"/>
          <w:szCs w:val="28"/>
        </w:rPr>
        <w:t xml:space="preserve"> NEURO</w:t>
      </w:r>
      <w:r w:rsidRPr="621A6DB4" w:rsidR="3CB34785">
        <w:rPr>
          <w:rFonts w:ascii="Cambria" w:hAnsi="Cambria" w:asciiTheme="majorAscii" w:hAnsiTheme="majorAscii"/>
          <w:b w:val="1"/>
          <w:bCs w:val="1"/>
          <w:color w:val="0070C0"/>
          <w:sz w:val="28"/>
          <w:szCs w:val="28"/>
        </w:rPr>
        <w:t>DISABILITY</w:t>
      </w:r>
      <w:r w:rsidRPr="621A6DB4" w:rsidR="00E8132A">
        <w:rPr>
          <w:rFonts w:ascii="Cambria" w:hAnsi="Cambria" w:asciiTheme="majorAscii" w:hAnsiTheme="majorAscii"/>
          <w:b w:val="1"/>
          <w:bCs w:val="1"/>
          <w:color w:val="0070C0"/>
          <w:sz w:val="28"/>
          <w:szCs w:val="28"/>
        </w:rPr>
        <w:t xml:space="preserve"> PAEDIATRICS</w:t>
      </w:r>
    </w:p>
    <w:p w:rsidR="00DD7015" w:rsidP="00F74662" w:rsidRDefault="00E8132A" w14:paraId="2B70AC45" w14:textId="006071B5">
      <w:pPr>
        <w:rPr>
          <w:sz w:val="24"/>
          <w:szCs w:val="24"/>
        </w:rPr>
      </w:pPr>
      <w:r w:rsidRPr="621A6DB4" w:rsidR="00E8132A">
        <w:rPr>
          <w:sz w:val="24"/>
          <w:szCs w:val="24"/>
        </w:rPr>
        <w:t xml:space="preserve">Community </w:t>
      </w:r>
      <w:r w:rsidRPr="621A6DB4" w:rsidR="7781EFE7">
        <w:rPr>
          <w:sz w:val="24"/>
          <w:szCs w:val="24"/>
        </w:rPr>
        <w:t>&amp; Neurodisability Paediatrics co</w:t>
      </w:r>
      <w:r w:rsidRPr="621A6DB4" w:rsidR="00E8132A">
        <w:rPr>
          <w:sz w:val="24"/>
          <w:szCs w:val="24"/>
        </w:rPr>
        <w:t>vers two distinct broad areas of service –</w:t>
      </w:r>
      <w:r w:rsidRPr="621A6DB4" w:rsidR="009827CF">
        <w:rPr>
          <w:sz w:val="24"/>
          <w:szCs w:val="24"/>
        </w:rPr>
        <w:t>COMMUNITY</w:t>
      </w:r>
      <w:r w:rsidRPr="621A6DB4" w:rsidR="00E8132A">
        <w:rPr>
          <w:sz w:val="24"/>
          <w:szCs w:val="24"/>
        </w:rPr>
        <w:t xml:space="preserve"> </w:t>
      </w:r>
      <w:r w:rsidRPr="621A6DB4" w:rsidR="004E333F">
        <w:rPr>
          <w:sz w:val="24"/>
          <w:szCs w:val="24"/>
        </w:rPr>
        <w:t>PAEDIATRICS -</w:t>
      </w:r>
      <w:r w:rsidRPr="621A6DB4" w:rsidR="009827CF">
        <w:rPr>
          <w:sz w:val="24"/>
          <w:szCs w:val="24"/>
        </w:rPr>
        <w:t xml:space="preserve">Children in Care </w:t>
      </w:r>
      <w:r w:rsidRPr="621A6DB4" w:rsidR="00E8132A">
        <w:rPr>
          <w:sz w:val="24"/>
          <w:szCs w:val="24"/>
        </w:rPr>
        <w:t>and adoption medical assessments, aspects of safeguarding and medical advice for special educational needs (SEND)</w:t>
      </w:r>
      <w:r w:rsidRPr="621A6DB4" w:rsidR="009827CF">
        <w:rPr>
          <w:sz w:val="24"/>
          <w:szCs w:val="24"/>
        </w:rPr>
        <w:t>, and NEUROD</w:t>
      </w:r>
      <w:r w:rsidRPr="621A6DB4" w:rsidR="5D4064BF">
        <w:rPr>
          <w:sz w:val="24"/>
          <w:szCs w:val="24"/>
        </w:rPr>
        <w:t>ISABILITY</w:t>
      </w:r>
      <w:r w:rsidRPr="621A6DB4" w:rsidR="004E333F">
        <w:rPr>
          <w:sz w:val="24"/>
          <w:szCs w:val="24"/>
        </w:rPr>
        <w:t xml:space="preserve"> </w:t>
      </w:r>
      <w:r w:rsidRPr="621A6DB4" w:rsidR="004E333F">
        <w:rPr>
          <w:sz w:val="24"/>
          <w:szCs w:val="24"/>
        </w:rPr>
        <w:t>PAEDIATRICS</w:t>
      </w:r>
      <w:r w:rsidRPr="621A6DB4" w:rsidR="009827CF">
        <w:rPr>
          <w:sz w:val="24"/>
          <w:szCs w:val="24"/>
        </w:rPr>
        <w:t xml:space="preserve"> </w:t>
      </w:r>
      <w:r w:rsidRPr="621A6DB4" w:rsidR="004E333F">
        <w:rPr>
          <w:sz w:val="24"/>
          <w:szCs w:val="24"/>
        </w:rPr>
        <w:t xml:space="preserve"> -</w:t>
      </w:r>
      <w:r w:rsidRPr="621A6DB4" w:rsidR="004E333F">
        <w:rPr>
          <w:sz w:val="24"/>
          <w:szCs w:val="24"/>
        </w:rPr>
        <w:t xml:space="preserve"> </w:t>
      </w:r>
      <w:r w:rsidRPr="621A6DB4" w:rsidR="009827CF">
        <w:rPr>
          <w:sz w:val="24"/>
          <w:szCs w:val="24"/>
        </w:rPr>
        <w:t>neurodisability</w:t>
      </w:r>
      <w:r w:rsidRPr="621A6DB4" w:rsidR="009827CF">
        <w:rPr>
          <w:sz w:val="24"/>
          <w:szCs w:val="24"/>
        </w:rPr>
        <w:t xml:space="preserve"> and neurodevelopmental conditions.</w:t>
      </w:r>
    </w:p>
    <w:p w:rsidRPr="00FF0AFA" w:rsidR="00F74662" w:rsidP="00E8132A" w:rsidRDefault="00E8132A" w14:paraId="1C8DA604" w14:textId="4235CFC8">
      <w:pPr>
        <w:rPr>
          <w:sz w:val="24"/>
          <w:szCs w:val="24"/>
        </w:rPr>
      </w:pPr>
      <w:r w:rsidRPr="621A6DB4" w:rsidR="00E8132A">
        <w:rPr>
          <w:sz w:val="24"/>
          <w:szCs w:val="24"/>
        </w:rPr>
        <w:t xml:space="preserve">The </w:t>
      </w:r>
      <w:r w:rsidRPr="621A6DB4" w:rsidR="009827CF">
        <w:rPr>
          <w:sz w:val="24"/>
          <w:szCs w:val="24"/>
        </w:rPr>
        <w:t>NEUROD</w:t>
      </w:r>
      <w:r w:rsidRPr="621A6DB4" w:rsidR="2FF2DBEE">
        <w:rPr>
          <w:sz w:val="24"/>
          <w:szCs w:val="24"/>
        </w:rPr>
        <w:t>ISABILITY</w:t>
      </w:r>
      <w:r w:rsidRPr="621A6DB4" w:rsidR="009827CF">
        <w:rPr>
          <w:sz w:val="24"/>
          <w:szCs w:val="24"/>
        </w:rPr>
        <w:t xml:space="preserve"> </w:t>
      </w:r>
      <w:r w:rsidRPr="621A6DB4" w:rsidR="00E8132A">
        <w:rPr>
          <w:sz w:val="24"/>
          <w:szCs w:val="24"/>
        </w:rPr>
        <w:t>service is available up to the age of 16, accepting those with complex disability who are attending special schools who are seen up to the age of 19 years, focusing on the multi-disciplinary diagnostic assessment for children with the following health needs and with medical aspects of management.</w:t>
      </w:r>
    </w:p>
    <w:p w:rsidR="00F74662" w:rsidP="621A6DB4" w:rsidRDefault="009827CF" w14:paraId="01269DDB" w14:textId="4F720C1C">
      <w:pPr>
        <w:rPr>
          <w:rFonts w:ascii="Cambria" w:hAnsi="Cambria" w:asciiTheme="majorAscii" w:hAnsiTheme="majorAscii"/>
          <w:b w:val="1"/>
          <w:bCs w:val="1"/>
        </w:rPr>
      </w:pPr>
      <w:r w:rsidRPr="621A6DB4" w:rsidR="009827CF">
        <w:rPr>
          <w:rFonts w:ascii="Cambria" w:hAnsi="Cambria" w:asciiTheme="majorAscii" w:hAnsiTheme="majorAscii"/>
          <w:b w:val="1"/>
          <w:bCs w:val="1"/>
        </w:rPr>
        <w:t>Neurod</w:t>
      </w:r>
      <w:r w:rsidRPr="621A6DB4" w:rsidR="195B168F">
        <w:rPr>
          <w:rFonts w:ascii="Cambria" w:hAnsi="Cambria" w:asciiTheme="majorAscii" w:hAnsiTheme="majorAscii"/>
          <w:b w:val="1"/>
          <w:bCs w:val="1"/>
        </w:rPr>
        <w:t>isability</w:t>
      </w:r>
      <w:r w:rsidRPr="621A6DB4" w:rsidR="009827CF">
        <w:rPr>
          <w:rFonts w:ascii="Cambria" w:hAnsi="Cambria" w:asciiTheme="majorAscii" w:hAnsiTheme="majorAscii"/>
          <w:b w:val="1"/>
          <w:bCs w:val="1"/>
        </w:rPr>
        <w:t xml:space="preserve"> Paediatrics </w:t>
      </w:r>
      <w:r w:rsidRPr="621A6DB4" w:rsidR="00F74662">
        <w:rPr>
          <w:rFonts w:ascii="Cambria" w:hAnsi="Cambria" w:asciiTheme="majorAscii" w:hAnsiTheme="majorAscii"/>
          <w:b w:val="1"/>
          <w:bCs w:val="1"/>
        </w:rPr>
        <w:t>Referral Criteria</w:t>
      </w:r>
      <w:r w:rsidRPr="621A6DB4" w:rsidR="008E35F3">
        <w:rPr>
          <w:rFonts w:ascii="Cambria" w:hAnsi="Cambria" w:asciiTheme="majorAscii" w:hAnsiTheme="majorAscii"/>
          <w:b w:val="1"/>
          <w:bCs w:val="1"/>
        </w:rPr>
        <w:t>:</w:t>
      </w:r>
      <w:r w:rsidRPr="621A6DB4" w:rsidR="000D75A3">
        <w:rPr>
          <w:rFonts w:ascii="Cambria" w:hAnsi="Cambria" w:asciiTheme="majorAscii" w:hAnsiTheme="majorAscii"/>
          <w:b w:val="1"/>
          <w:bCs w:val="1"/>
        </w:rPr>
        <w:t xml:space="preserve"> </w:t>
      </w:r>
      <w:r w:rsidRPr="621A6DB4" w:rsidR="000D75A3">
        <w:rPr>
          <w:rFonts w:ascii="Cambria" w:hAnsi="Cambria" w:asciiTheme="majorAscii" w:hAnsiTheme="majorAscii"/>
          <w:b w:val="1"/>
          <w:bCs w:val="1"/>
          <w:sz w:val="24"/>
          <w:szCs w:val="24"/>
        </w:rPr>
        <w:t>(see below for exclusion criteria)</w:t>
      </w:r>
    </w:p>
    <w:tbl>
      <w:tblPr>
        <w:tblStyle w:val="LightShading-Accent1"/>
        <w:tblW w:w="0" w:type="auto"/>
        <w:tblLook w:val="04A0" w:firstRow="1" w:lastRow="0" w:firstColumn="1" w:lastColumn="0" w:noHBand="0" w:noVBand="1"/>
      </w:tblPr>
      <w:tblGrid>
        <w:gridCol w:w="4591"/>
        <w:gridCol w:w="5047"/>
      </w:tblGrid>
      <w:tr w:rsidR="000D75A3" w:rsidTr="621A6DB4" w14:paraId="5FC275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Mar/>
          </w:tcPr>
          <w:p w:rsidRPr="009827CF" w:rsidR="000D75A3" w:rsidP="000D75A3" w:rsidRDefault="000D75A3" w14:paraId="41828917" w14:textId="1E26B9D6">
            <w:r>
              <w:t xml:space="preserve">Developmental problems diagnostic assessment for </w:t>
            </w:r>
            <w:r w:rsidR="00DB77D3">
              <w:t>pre-school</w:t>
            </w:r>
            <w:r>
              <w:t xml:space="preserve"> children</w:t>
            </w:r>
          </w:p>
        </w:tc>
        <w:tc>
          <w:tcPr>
            <w:cnfStyle w:val="000000000000" w:firstRow="0" w:lastRow="0" w:firstColumn="0" w:lastColumn="0" w:oddVBand="0" w:evenVBand="0" w:oddHBand="0" w:evenHBand="0" w:firstRowFirstColumn="0" w:firstRowLastColumn="0" w:lastRowFirstColumn="0" w:lastRowLastColumn="0"/>
            <w:tcW w:w="5047" w:type="dxa"/>
            <w:tcMar/>
          </w:tcPr>
          <w:p w:rsidRPr="00DB77D3" w:rsidR="000D75A3" w:rsidP="000D75A3" w:rsidRDefault="000D75A3" w14:paraId="71780A72" w14:textId="77777777">
            <w:pPr>
              <w:cnfStyle w:val="100000000000" w:firstRow="1" w:lastRow="0" w:firstColumn="0" w:lastColumn="0" w:oddVBand="0" w:evenVBand="0" w:oddHBand="0" w:evenHBand="0" w:firstRowFirstColumn="0" w:firstRowLastColumn="0" w:lastRowFirstColumn="0" w:lastRowLastColumn="0"/>
              <w:rPr>
                <w:b w:val="0"/>
                <w:bCs w:val="0"/>
                <w:i/>
              </w:rPr>
            </w:pPr>
            <w:r w:rsidRPr="00DB77D3">
              <w:rPr>
                <w:b w:val="0"/>
                <w:bCs w:val="0"/>
                <w:i/>
              </w:rPr>
              <w:t>Developmental delay</w:t>
            </w:r>
          </w:p>
          <w:p w:rsidRPr="00DB77D3" w:rsidR="000D75A3" w:rsidP="000D75A3" w:rsidRDefault="000D75A3" w14:paraId="2535A87C" w14:textId="77777777">
            <w:pPr>
              <w:cnfStyle w:val="100000000000" w:firstRow="1" w:lastRow="0" w:firstColumn="0" w:lastColumn="0" w:oddVBand="0" w:evenVBand="0" w:oddHBand="0" w:evenHBand="0" w:firstRowFirstColumn="0" w:firstRowLastColumn="0" w:lastRowFirstColumn="0" w:lastRowLastColumn="0"/>
              <w:rPr>
                <w:b w:val="0"/>
                <w:bCs w:val="0"/>
                <w:i/>
              </w:rPr>
            </w:pPr>
            <w:r w:rsidRPr="00DB77D3">
              <w:rPr>
                <w:b w:val="0"/>
                <w:bCs w:val="0"/>
                <w:i/>
              </w:rPr>
              <w:t>Genetic syndromes</w:t>
            </w:r>
          </w:p>
          <w:p w:rsidRPr="00DB77D3" w:rsidR="000D75A3" w:rsidP="000D75A3" w:rsidRDefault="000D75A3" w14:paraId="168D5446" w14:textId="77777777">
            <w:pPr>
              <w:cnfStyle w:val="100000000000" w:firstRow="1" w:lastRow="0" w:firstColumn="0" w:lastColumn="0" w:oddVBand="0" w:evenVBand="0" w:oddHBand="0" w:evenHBand="0" w:firstRowFirstColumn="0" w:firstRowLastColumn="0" w:lastRowFirstColumn="0" w:lastRowLastColumn="0"/>
              <w:rPr>
                <w:b w:val="0"/>
                <w:bCs w:val="0"/>
                <w:i/>
              </w:rPr>
            </w:pPr>
            <w:r w:rsidRPr="00DB77D3">
              <w:rPr>
                <w:b w:val="0"/>
                <w:bCs w:val="0"/>
                <w:i/>
              </w:rPr>
              <w:t>Complex disability</w:t>
            </w:r>
          </w:p>
          <w:p w:rsidRPr="00DB77D3" w:rsidR="000D75A3" w:rsidP="000D75A3" w:rsidRDefault="000D75A3" w14:paraId="46E6AFE3" w14:textId="77777777">
            <w:pPr>
              <w:cnfStyle w:val="100000000000" w:firstRow="1" w:lastRow="0" w:firstColumn="0" w:lastColumn="0" w:oddVBand="0" w:evenVBand="0" w:oddHBand="0" w:evenHBand="0" w:firstRowFirstColumn="0" w:firstRowLastColumn="0" w:lastRowFirstColumn="0" w:lastRowLastColumn="0"/>
              <w:rPr>
                <w:b w:val="0"/>
                <w:bCs w:val="0"/>
                <w:i/>
              </w:rPr>
            </w:pPr>
            <w:r w:rsidRPr="00DB77D3">
              <w:rPr>
                <w:b w:val="0"/>
                <w:bCs w:val="0"/>
                <w:i/>
              </w:rPr>
              <w:t>Cerebral palsy</w:t>
            </w:r>
          </w:p>
          <w:p w:rsidR="000D75A3" w:rsidP="000D75A3" w:rsidRDefault="000D75A3" w14:paraId="47D2097A" w14:textId="1AF6629F">
            <w:pPr>
              <w:cnfStyle w:val="100000000000" w:firstRow="1" w:lastRow="0" w:firstColumn="0" w:lastColumn="0" w:oddVBand="0" w:evenVBand="0" w:oddHBand="0" w:evenHBand="0" w:firstRowFirstColumn="0" w:firstRowLastColumn="0" w:lastRowFirstColumn="0" w:lastRowLastColumn="0"/>
              <w:rPr>
                <w:i/>
              </w:rPr>
            </w:pPr>
            <w:r w:rsidRPr="00DB77D3">
              <w:rPr>
                <w:b w:val="0"/>
                <w:bCs w:val="0"/>
                <w:i/>
              </w:rPr>
              <w:t>Autism Spectrum Disorder</w:t>
            </w:r>
          </w:p>
        </w:tc>
      </w:tr>
      <w:tr w:rsidR="000D75A3" w:rsidTr="621A6DB4" w14:paraId="7255F9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Borders>
              <w:bottom w:val="single" w:color="auto" w:sz="4" w:space="0"/>
            </w:tcBorders>
            <w:tcMar/>
          </w:tcPr>
          <w:p w:rsidR="000D75A3" w:rsidP="000D75A3" w:rsidRDefault="000D75A3" w14:paraId="4227289B" w14:textId="2A37308E">
            <w:r>
              <w:t>Foetal Alcohol Spectrum Disorder</w:t>
            </w:r>
          </w:p>
        </w:tc>
        <w:tc>
          <w:tcPr>
            <w:cnfStyle w:val="000000000000" w:firstRow="0" w:lastRow="0" w:firstColumn="0" w:lastColumn="0" w:oddVBand="0" w:evenVBand="0" w:oddHBand="0" w:evenHBand="0" w:firstRowFirstColumn="0" w:firstRowLastColumn="0" w:lastRowFirstColumn="0" w:lastRowLastColumn="0"/>
            <w:tcW w:w="5047" w:type="dxa"/>
            <w:tcBorders>
              <w:bottom w:val="single" w:color="auto" w:sz="4" w:space="0"/>
            </w:tcBorders>
            <w:tcMar/>
          </w:tcPr>
          <w:p w:rsidRPr="00FF0AFA" w:rsidR="000D75A3" w:rsidP="000D75A3" w:rsidRDefault="000D75A3" w14:paraId="76D8B2F3" w14:textId="56A2089B">
            <w:pPr>
              <w:cnfStyle w:val="000000100000" w:firstRow="0" w:lastRow="0" w:firstColumn="0" w:lastColumn="0" w:oddVBand="0" w:evenVBand="0" w:oddHBand="1" w:evenHBand="0" w:firstRowFirstColumn="0" w:firstRowLastColumn="0" w:lastRowFirstColumn="0" w:lastRowLastColumn="0"/>
              <w:rPr>
                <w:i/>
              </w:rPr>
            </w:pPr>
            <w:r>
              <w:rPr>
                <w:i/>
              </w:rPr>
              <w:t>Medical diagnostic assessment</w:t>
            </w:r>
          </w:p>
        </w:tc>
      </w:tr>
      <w:tr w:rsidR="000D75A3" w:rsidTr="621A6DB4" w14:paraId="1FFE13A6" w14:textId="77777777">
        <w:tc>
          <w:tcPr>
            <w:cnfStyle w:val="001000000000" w:firstRow="0" w:lastRow="0" w:firstColumn="1" w:lastColumn="0" w:oddVBand="0" w:evenVBand="0" w:oddHBand="0" w:evenHBand="0" w:firstRowFirstColumn="0" w:firstRowLastColumn="0" w:lastRowFirstColumn="0" w:lastRowLastColumn="0"/>
            <w:tcW w:w="4591" w:type="dxa"/>
            <w:tcBorders>
              <w:top w:val="single" w:color="auto" w:sz="4" w:space="0"/>
              <w:bottom w:val="single" w:color="auto" w:sz="4" w:space="0"/>
            </w:tcBorders>
            <w:tcMar/>
          </w:tcPr>
          <w:p w:rsidR="000D75A3" w:rsidP="000D75A3" w:rsidRDefault="000D75A3" w14:paraId="674353B5" w14:textId="4638D1DF">
            <w:r>
              <w:t>Autism Spectrum Disorder diagnostic assessment (2- 15 years)</w:t>
            </w:r>
          </w:p>
        </w:tc>
        <w:tc>
          <w:tcPr>
            <w:cnfStyle w:val="000000000000" w:firstRow="0" w:lastRow="0" w:firstColumn="0" w:lastColumn="0" w:oddVBand="0" w:evenVBand="0" w:oddHBand="0" w:evenHBand="0" w:firstRowFirstColumn="0" w:firstRowLastColumn="0" w:lastRowFirstColumn="0" w:lastRowLastColumn="0"/>
            <w:tcW w:w="5047" w:type="dxa"/>
            <w:tcBorders>
              <w:top w:val="single" w:color="auto" w:sz="4" w:space="0"/>
              <w:bottom w:val="single" w:color="auto" w:sz="4" w:space="0"/>
            </w:tcBorders>
            <w:tcMar/>
          </w:tcPr>
          <w:p w:rsidR="000D75A3" w:rsidP="000D75A3" w:rsidRDefault="000D75A3" w14:paraId="0CD834B4" w14:textId="28684325">
            <w:pPr>
              <w:cnfStyle w:val="000000000000" w:firstRow="0" w:lastRow="0" w:firstColumn="0" w:lastColumn="0" w:oddVBand="0" w:evenVBand="0" w:oddHBand="0" w:evenHBand="0" w:firstRowFirstColumn="0" w:firstRowLastColumn="0" w:lastRowFirstColumn="0" w:lastRowLastColumn="0"/>
              <w:rPr>
                <w:i/>
              </w:rPr>
            </w:pPr>
            <w:r>
              <w:rPr>
                <w:i/>
              </w:rPr>
              <w:t>Medical diagnostic assessment</w:t>
            </w:r>
          </w:p>
          <w:p w:rsidR="000D75A3" w:rsidP="000D75A3" w:rsidRDefault="000D75A3" w14:paraId="1CEF362D" w14:textId="77777777">
            <w:pPr>
              <w:cnfStyle w:val="000000000000" w:firstRow="0" w:lastRow="0" w:firstColumn="0" w:lastColumn="0" w:oddVBand="0" w:evenVBand="0" w:oddHBand="0" w:evenHBand="0" w:firstRowFirstColumn="0" w:firstRowLastColumn="0" w:lastRowFirstColumn="0" w:lastRowLastColumn="0"/>
              <w:rPr>
                <w:i/>
              </w:rPr>
            </w:pPr>
          </w:p>
        </w:tc>
      </w:tr>
      <w:tr w:rsidR="000D75A3" w:rsidTr="621A6DB4" w14:paraId="750806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Borders>
              <w:top w:val="single" w:color="auto" w:sz="4" w:space="0"/>
            </w:tcBorders>
            <w:tcMar/>
          </w:tcPr>
          <w:p w:rsidR="000D75A3" w:rsidP="000D75A3" w:rsidRDefault="000D75A3" w14:paraId="71447CBA" w14:textId="63B48A46">
            <w:r>
              <w:t>ADHD diagnostic assessment (6-10 years)</w:t>
            </w:r>
          </w:p>
        </w:tc>
        <w:tc>
          <w:tcPr>
            <w:cnfStyle w:val="000000000000" w:firstRow="0" w:lastRow="0" w:firstColumn="0" w:lastColumn="0" w:oddVBand="0" w:evenVBand="0" w:oddHBand="0" w:evenHBand="0" w:firstRowFirstColumn="0" w:firstRowLastColumn="0" w:lastRowFirstColumn="0" w:lastRowLastColumn="0"/>
            <w:tcW w:w="5047" w:type="dxa"/>
            <w:tcBorders>
              <w:top w:val="single" w:color="auto" w:sz="4" w:space="0"/>
            </w:tcBorders>
            <w:tcMar/>
          </w:tcPr>
          <w:p w:rsidR="000D75A3" w:rsidP="000D75A3" w:rsidRDefault="000D75A3" w14:paraId="2029913F" w14:textId="77777777">
            <w:pPr>
              <w:cnfStyle w:val="000000100000" w:firstRow="0" w:lastRow="0" w:firstColumn="0" w:lastColumn="0" w:oddVBand="0" w:evenVBand="0" w:oddHBand="1" w:evenHBand="0" w:firstRowFirstColumn="0" w:firstRowLastColumn="0" w:lastRowFirstColumn="0" w:lastRowLastColumn="0"/>
              <w:rPr>
                <w:i/>
              </w:rPr>
            </w:pPr>
            <w:r>
              <w:rPr>
                <w:i/>
              </w:rPr>
              <w:t>Attention deficit hyperactivity disorder (primary school age)</w:t>
            </w:r>
          </w:p>
          <w:p w:rsidR="000D75A3" w:rsidP="000D75A3" w:rsidRDefault="000D75A3" w14:paraId="75B5F45A" w14:textId="69F97710">
            <w:pPr>
              <w:cnfStyle w:val="000000100000" w:firstRow="0" w:lastRow="0" w:firstColumn="0" w:lastColumn="0" w:oddVBand="0" w:evenVBand="0" w:oddHBand="1" w:evenHBand="0" w:firstRowFirstColumn="0" w:firstRowLastColumn="0" w:lastRowFirstColumn="0" w:lastRowLastColumn="0"/>
              <w:rPr>
                <w:i/>
              </w:rPr>
            </w:pPr>
            <w:r>
              <w:rPr>
                <w:i/>
              </w:rPr>
              <w:t>Diagnosis and medication treatment</w:t>
            </w:r>
          </w:p>
          <w:p w:rsidRPr="00FF0AFA" w:rsidR="000D75A3" w:rsidP="000D75A3" w:rsidRDefault="000D75A3" w14:paraId="099D5D11" w14:textId="3AD8B8C8">
            <w:pPr>
              <w:cnfStyle w:val="000000100000" w:firstRow="0" w:lastRow="0" w:firstColumn="0" w:lastColumn="0" w:oddVBand="0" w:evenVBand="0" w:oddHBand="1" w:evenHBand="0" w:firstRowFirstColumn="0" w:firstRowLastColumn="0" w:lastRowFirstColumn="0" w:lastRowLastColumn="0"/>
              <w:rPr>
                <w:i/>
              </w:rPr>
            </w:pPr>
          </w:p>
        </w:tc>
      </w:tr>
      <w:tr w:rsidR="0016060A" w:rsidTr="621A6DB4" w14:paraId="353732F7" w14:textId="77777777">
        <w:tc>
          <w:tcPr>
            <w:cnfStyle w:val="001000000000" w:firstRow="0" w:lastRow="0" w:firstColumn="1" w:lastColumn="0" w:oddVBand="0" w:evenVBand="0" w:oddHBand="0" w:evenHBand="0" w:firstRowFirstColumn="0" w:firstRowLastColumn="0" w:lastRowFirstColumn="0" w:lastRowLastColumn="0"/>
            <w:tcW w:w="4591" w:type="dxa"/>
            <w:tcMar/>
          </w:tcPr>
          <w:p w:rsidR="0016060A" w:rsidP="0016060A" w:rsidRDefault="0016060A" w14:paraId="76EFA8F8" w14:textId="13562194">
            <w:pPr>
              <w:rPr>
                <w:b w:val="0"/>
                <w:bCs w:val="0"/>
              </w:rPr>
            </w:pPr>
            <w:r>
              <w:t>D</w:t>
            </w:r>
            <w:r w:rsidR="001A7A59">
              <w:t>yspraxia / D</w:t>
            </w:r>
            <w:r>
              <w:t xml:space="preserve">evelopmental </w:t>
            </w:r>
            <w:r w:rsidR="00CA5D91">
              <w:t>C</w:t>
            </w:r>
            <w:r>
              <w:t xml:space="preserve">o-ordination </w:t>
            </w:r>
            <w:r w:rsidR="00CA5D91">
              <w:t>D</w:t>
            </w:r>
            <w:r>
              <w:t>isorder</w:t>
            </w:r>
            <w:r w:rsidR="006528C7">
              <w:t xml:space="preserve"> (DCD)</w:t>
            </w:r>
            <w:r>
              <w:t xml:space="preserve"> diagnostic assessment </w:t>
            </w:r>
            <w:r w:rsidR="006528C7">
              <w:t xml:space="preserve">           </w:t>
            </w:r>
            <w:proofErr w:type="gramStart"/>
            <w:r w:rsidR="006528C7">
              <w:t xml:space="preserve">   </w:t>
            </w:r>
            <w:r>
              <w:t>(</w:t>
            </w:r>
            <w:proofErr w:type="gramEnd"/>
            <w:r>
              <w:t>6-10 years).</w:t>
            </w:r>
          </w:p>
          <w:p w:rsidRPr="00FD38FB" w:rsidR="0016060A" w:rsidP="00FD38FB" w:rsidRDefault="0016060A" w14:paraId="4FFBC371" w14:textId="7514FC66"/>
        </w:tc>
        <w:tc>
          <w:tcPr>
            <w:cnfStyle w:val="000000000000" w:firstRow="0" w:lastRow="0" w:firstColumn="0" w:lastColumn="0" w:oddVBand="0" w:evenVBand="0" w:oddHBand="0" w:evenHBand="0" w:firstRowFirstColumn="0" w:firstRowLastColumn="0" w:lastRowFirstColumn="0" w:lastRowLastColumn="0"/>
            <w:tcW w:w="5047" w:type="dxa"/>
            <w:tcMar/>
          </w:tcPr>
          <w:p w:rsidR="0016060A" w:rsidP="0016060A" w:rsidRDefault="0016060A" w14:paraId="153C7C54" w14:textId="77777777">
            <w:pPr>
              <w:cnfStyle w:val="000000000000" w:firstRow="0" w:lastRow="0" w:firstColumn="0" w:lastColumn="0" w:oddVBand="0" w:evenVBand="0" w:oddHBand="0" w:evenHBand="0" w:firstRowFirstColumn="0" w:firstRowLastColumn="0" w:lastRowFirstColumn="0" w:lastRowLastColumn="0"/>
            </w:pPr>
            <w:r>
              <w:t xml:space="preserve">Concerns about motor co-ordination – refer first to Occupational Therapy (LSCFT). </w:t>
            </w:r>
          </w:p>
          <w:p w:rsidR="0016060A" w:rsidP="0016060A" w:rsidRDefault="0016060A" w14:paraId="4C7A5EE8" w14:textId="77777777">
            <w:pPr>
              <w:cnfStyle w:val="000000000000" w:firstRow="0" w:lastRow="0" w:firstColumn="0" w:lastColumn="0" w:oddVBand="0" w:evenVBand="0" w:oddHBand="0" w:evenHBand="0" w:firstRowFirstColumn="0" w:firstRowLastColumn="0" w:lastRowFirstColumn="0" w:lastRowLastColumn="0"/>
              <w:rPr>
                <w:i/>
              </w:rPr>
            </w:pPr>
            <w:r>
              <w:rPr>
                <w:i/>
              </w:rPr>
              <w:t>NOTE: Referrals for Dyspraxia / DCD are only accepted from Occupational Therapy</w:t>
            </w:r>
          </w:p>
          <w:p w:rsidRPr="008E35F3" w:rsidR="0016060A" w:rsidP="0016060A" w:rsidRDefault="0016060A" w14:paraId="0C9B19BE" w14:textId="6E86F34A">
            <w:pPr>
              <w:cnfStyle w:val="000000000000" w:firstRow="0" w:lastRow="0" w:firstColumn="0" w:lastColumn="0" w:oddVBand="0" w:evenVBand="0" w:oddHBand="0" w:evenHBand="0" w:firstRowFirstColumn="0" w:firstRowLastColumn="0" w:lastRowFirstColumn="0" w:lastRowLastColumn="0"/>
              <w:rPr>
                <w:i/>
              </w:rPr>
            </w:pPr>
          </w:p>
        </w:tc>
      </w:tr>
      <w:tr w:rsidR="0016060A" w:rsidTr="621A6DB4" w14:paraId="5D1EE4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Mar/>
          </w:tcPr>
          <w:p w:rsidR="00935856" w:rsidP="0016060A" w:rsidRDefault="0016060A" w14:paraId="4B9CBF5B" w14:textId="77777777">
            <w:pPr>
              <w:rPr>
                <w:b w:val="0"/>
                <w:bCs w:val="0"/>
              </w:rPr>
            </w:pPr>
            <w:r>
              <w:t xml:space="preserve">Medical aetiological investigation of children with moderate to severe </w:t>
            </w:r>
          </w:p>
          <w:p w:rsidR="0016060A" w:rsidP="0016060A" w:rsidRDefault="00935856" w14:paraId="73F4ACEC" w14:textId="3A939A8C">
            <w:r>
              <w:t>L</w:t>
            </w:r>
            <w:r w:rsidR="0016060A">
              <w:t xml:space="preserve">earning </w:t>
            </w:r>
            <w:r w:rsidR="00184BD8">
              <w:t>o</w:t>
            </w:r>
            <w:r>
              <w:t>r</w:t>
            </w:r>
            <w:r w:rsidR="00184BD8">
              <w:t xml:space="preserve"> </w:t>
            </w:r>
            <w:r>
              <w:t>I</w:t>
            </w:r>
            <w:r w:rsidR="00184BD8">
              <w:t xml:space="preserve">ntellectual </w:t>
            </w:r>
            <w:r>
              <w:t>D</w:t>
            </w:r>
            <w:r w:rsidR="0016060A">
              <w:t>isabilit</w:t>
            </w:r>
            <w:r w:rsidR="00184BD8">
              <w:t>y</w:t>
            </w:r>
            <w:r w:rsidR="0016060A">
              <w:t xml:space="preserve"> </w:t>
            </w:r>
          </w:p>
          <w:p w:rsidR="0016060A" w:rsidP="0016060A" w:rsidRDefault="0016060A" w14:paraId="0C9ADF43" w14:textId="668DC23C">
            <w:r>
              <w:t>(</w:t>
            </w:r>
            <w:r w:rsidR="00184BD8">
              <w:t>Primary</w:t>
            </w:r>
            <w:r>
              <w:t xml:space="preserve"> or </w:t>
            </w:r>
            <w:r w:rsidR="00184BD8">
              <w:t>S</w:t>
            </w:r>
            <w:r>
              <w:t>econdary school age)</w:t>
            </w:r>
          </w:p>
          <w:p w:rsidR="0016060A" w:rsidP="0016060A" w:rsidRDefault="0016060A" w14:paraId="21AAF643" w14:textId="057640CB"/>
        </w:tc>
        <w:tc>
          <w:tcPr>
            <w:cnfStyle w:val="000000000000" w:firstRow="0" w:lastRow="0" w:firstColumn="0" w:lastColumn="0" w:oddVBand="0" w:evenVBand="0" w:oddHBand="0" w:evenHBand="0" w:firstRowFirstColumn="0" w:firstRowLastColumn="0" w:lastRowFirstColumn="0" w:lastRowLastColumn="0"/>
            <w:tcW w:w="5047" w:type="dxa"/>
            <w:tcMar/>
          </w:tcPr>
          <w:p w:rsidR="0016060A" w:rsidP="0016060A" w:rsidRDefault="0016060A" w14:paraId="2C73B4D4" w14:textId="6669AE01">
            <w:pPr>
              <w:cnfStyle w:val="000000100000" w:firstRow="0" w:lastRow="0" w:firstColumn="0" w:lastColumn="0" w:oddVBand="0" w:evenVBand="0" w:oddHBand="1" w:evenHBand="0" w:firstRowFirstColumn="0" w:firstRowLastColumn="0" w:lastRowFirstColumn="0" w:lastRowLastColumn="0"/>
              <w:rPr>
                <w:i/>
              </w:rPr>
            </w:pPr>
            <w:r>
              <w:rPr>
                <w:i/>
              </w:rPr>
              <w:t>Aetiological assessment (causation)</w:t>
            </w:r>
          </w:p>
          <w:p w:rsidRPr="00FF0AFA" w:rsidR="0016060A" w:rsidP="0016060A" w:rsidRDefault="0016060A" w14:paraId="37E8129D" w14:textId="7F455BF6">
            <w:pPr>
              <w:cnfStyle w:val="000000100000" w:firstRow="0" w:lastRow="0" w:firstColumn="0" w:lastColumn="0" w:oddVBand="0" w:evenVBand="0" w:oddHBand="1" w:evenHBand="0" w:firstRowFirstColumn="0" w:firstRowLastColumn="0" w:lastRowFirstColumn="0" w:lastRowLastColumn="0"/>
              <w:rPr>
                <w:i/>
              </w:rPr>
            </w:pPr>
            <w:r>
              <w:t>NOTE: Concerns about moderate or severe learning Disability (3 or more years behind in their learning attainment) should be referred to educational psychology and cognitive profile included in the referral documentation</w:t>
            </w:r>
          </w:p>
        </w:tc>
      </w:tr>
      <w:tr w:rsidR="0016060A" w:rsidTr="621A6DB4" w14:paraId="5428D125" w14:textId="77777777">
        <w:tc>
          <w:tcPr>
            <w:cnfStyle w:val="001000000000" w:firstRow="0" w:lastRow="0" w:firstColumn="1" w:lastColumn="0" w:oddVBand="0" w:evenVBand="0" w:oddHBand="0" w:evenHBand="0" w:firstRowFirstColumn="0" w:firstRowLastColumn="0" w:lastRowFirstColumn="0" w:lastRowLastColumn="0"/>
            <w:tcW w:w="4591" w:type="dxa"/>
            <w:tcMar/>
          </w:tcPr>
          <w:p w:rsidR="0016060A" w:rsidP="0016060A" w:rsidRDefault="0016060A" w14:paraId="0536CFC9" w14:textId="0FAF43DF">
            <w:r>
              <w:t>Cerebral palsy diagnosis and medical management (0-15 years)</w:t>
            </w:r>
          </w:p>
        </w:tc>
        <w:tc>
          <w:tcPr>
            <w:cnfStyle w:val="000000000000" w:firstRow="0" w:lastRow="0" w:firstColumn="0" w:lastColumn="0" w:oddVBand="0" w:evenVBand="0" w:oddHBand="0" w:evenHBand="0" w:firstRowFirstColumn="0" w:firstRowLastColumn="0" w:lastRowFirstColumn="0" w:lastRowLastColumn="0"/>
            <w:tcW w:w="5047" w:type="dxa"/>
            <w:tcMar/>
          </w:tcPr>
          <w:p w:rsidRPr="00FF0AFA" w:rsidR="0016060A" w:rsidP="0016060A" w:rsidRDefault="0016060A" w14:paraId="22CE01D3" w14:textId="51CB7869">
            <w:pPr>
              <w:cnfStyle w:val="000000000000" w:firstRow="0" w:lastRow="0" w:firstColumn="0" w:lastColumn="0" w:oddVBand="0" w:evenVBand="0" w:oddHBand="0" w:evenHBand="0" w:firstRowFirstColumn="0" w:firstRowLastColumn="0" w:lastRowFirstColumn="0" w:lastRowLastColumn="0"/>
              <w:rPr>
                <w:i/>
              </w:rPr>
            </w:pPr>
            <w:r>
              <w:rPr>
                <w:i/>
              </w:rPr>
              <w:t>Medical diagnostic assessment and medical management Including tone management services</w:t>
            </w:r>
          </w:p>
        </w:tc>
      </w:tr>
      <w:tr w:rsidR="0016060A" w:rsidTr="621A6DB4" w14:paraId="286201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Mar/>
          </w:tcPr>
          <w:p w:rsidR="0016060A" w:rsidP="0016060A" w:rsidRDefault="0016060A" w14:paraId="6EA0D8F7" w14:textId="446716D3">
            <w:r>
              <w:t>Medical management of complex neurological or genetic conditions (in association with other specialist services) (0-15 years)</w:t>
            </w:r>
          </w:p>
        </w:tc>
        <w:tc>
          <w:tcPr>
            <w:cnfStyle w:val="000000000000" w:firstRow="0" w:lastRow="0" w:firstColumn="0" w:lastColumn="0" w:oddVBand="0" w:evenVBand="0" w:oddHBand="0" w:evenHBand="0" w:firstRowFirstColumn="0" w:firstRowLastColumn="0" w:lastRowFirstColumn="0" w:lastRowLastColumn="0"/>
            <w:tcW w:w="5047" w:type="dxa"/>
            <w:tcMar/>
          </w:tcPr>
          <w:p w:rsidR="0016060A" w:rsidP="0016060A" w:rsidRDefault="0016060A" w14:paraId="008BACD9" w14:textId="77777777">
            <w:pPr>
              <w:cnfStyle w:val="000000100000" w:firstRow="0" w:lastRow="0" w:firstColumn="0" w:lastColumn="0" w:oddVBand="0" w:evenVBand="0" w:oddHBand="1" w:evenHBand="0" w:firstRowFirstColumn="0" w:firstRowLastColumn="0" w:lastRowFirstColumn="0" w:lastRowLastColumn="0"/>
              <w:rPr>
                <w:i/>
              </w:rPr>
            </w:pPr>
            <w:r>
              <w:rPr>
                <w:i/>
              </w:rPr>
              <w:t>Downs syndrome</w:t>
            </w:r>
          </w:p>
          <w:p w:rsidR="0016060A" w:rsidP="0016060A" w:rsidRDefault="0016060A" w14:paraId="0972AADF" w14:textId="77777777">
            <w:pPr>
              <w:cnfStyle w:val="000000100000" w:firstRow="0" w:lastRow="0" w:firstColumn="0" w:lastColumn="0" w:oddVBand="0" w:evenVBand="0" w:oddHBand="1" w:evenHBand="0" w:firstRowFirstColumn="0" w:firstRowLastColumn="0" w:lastRowFirstColumn="0" w:lastRowLastColumn="0"/>
              <w:rPr>
                <w:i/>
              </w:rPr>
            </w:pPr>
            <w:r>
              <w:rPr>
                <w:i/>
              </w:rPr>
              <w:t>Neurofibromatosis type 1 (NF1)</w:t>
            </w:r>
          </w:p>
          <w:p w:rsidR="0016060A" w:rsidP="0016060A" w:rsidRDefault="0016060A" w14:paraId="0F11DCAC" w14:textId="77777777">
            <w:pPr>
              <w:cnfStyle w:val="000000100000" w:firstRow="0" w:lastRow="0" w:firstColumn="0" w:lastColumn="0" w:oddVBand="0" w:evenVBand="0" w:oddHBand="1" w:evenHBand="0" w:firstRowFirstColumn="0" w:firstRowLastColumn="0" w:lastRowFirstColumn="0" w:lastRowLastColumn="0"/>
              <w:rPr>
                <w:i/>
              </w:rPr>
            </w:pPr>
            <w:r>
              <w:rPr>
                <w:i/>
              </w:rPr>
              <w:t>Genetic syndromes</w:t>
            </w:r>
          </w:p>
          <w:p w:rsidR="0016060A" w:rsidP="0016060A" w:rsidRDefault="0016060A" w14:paraId="2BB06010" w14:textId="3B4B5F2E">
            <w:pPr>
              <w:cnfStyle w:val="000000100000" w:firstRow="0" w:lastRow="0" w:firstColumn="0" w:lastColumn="0" w:oddVBand="0" w:evenVBand="0" w:oddHBand="1" w:evenHBand="0" w:firstRowFirstColumn="0" w:firstRowLastColumn="0" w:lastRowFirstColumn="0" w:lastRowLastColumn="0"/>
            </w:pPr>
            <w:r>
              <w:rPr>
                <w:i/>
              </w:rPr>
              <w:t>Muscle disorders</w:t>
            </w:r>
          </w:p>
        </w:tc>
      </w:tr>
    </w:tbl>
    <w:p w:rsidR="621A6DB4" w:rsidP="621A6DB4" w:rsidRDefault="621A6DB4" w14:paraId="49F83352" w14:textId="0D96140B">
      <w:pPr>
        <w:jc w:val="center"/>
        <w:rPr>
          <w:b w:val="1"/>
          <w:bCs w:val="1"/>
          <w:sz w:val="36"/>
          <w:szCs w:val="36"/>
        </w:rPr>
      </w:pPr>
    </w:p>
    <w:p w:rsidRPr="000D75A3" w:rsidR="000D75A3" w:rsidP="000D75A3" w:rsidRDefault="000D75A3" w14:paraId="6F381442" w14:textId="4030A584">
      <w:pPr>
        <w:jc w:val="center"/>
        <w:rPr>
          <w:sz w:val="24"/>
          <w:szCs w:val="24"/>
        </w:rPr>
      </w:pPr>
      <w:r w:rsidRPr="000D75A3">
        <w:rPr>
          <w:b/>
          <w:bCs/>
          <w:sz w:val="36"/>
          <w:szCs w:val="36"/>
        </w:rPr>
        <w:t>Signposting to Support Services is the responsibility of all professionals involved with the Child / Young Person / Family</w:t>
      </w:r>
      <w:r w:rsidRPr="000D75A3">
        <w:rPr>
          <w:sz w:val="24"/>
          <w:szCs w:val="24"/>
        </w:rPr>
        <w:t xml:space="preserve"> </w:t>
      </w:r>
    </w:p>
    <w:p w:rsidR="006B15E1" w:rsidRDefault="006B15E1" w14:paraId="50C7B567" w14:textId="77777777"/>
    <w:tbl>
      <w:tblPr>
        <w:tblStyle w:val="LightShading-Accent3"/>
        <w:tblW w:w="0" w:type="auto"/>
        <w:tblLook w:val="04A0" w:firstRow="1" w:lastRow="0" w:firstColumn="1" w:lastColumn="0" w:noHBand="0" w:noVBand="1"/>
      </w:tblPr>
      <w:tblGrid>
        <w:gridCol w:w="9638"/>
      </w:tblGrid>
      <w:tr w:rsidRPr="00FF0AFA" w:rsidR="00464D7A" w:rsidTr="00464D7A" w14:paraId="2A11DB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18870577" w14:textId="77777777">
            <w:pPr>
              <w:rPr>
                <w:rFonts w:asciiTheme="majorHAnsi" w:hAnsiTheme="majorHAnsi"/>
                <w:sz w:val="24"/>
                <w:szCs w:val="24"/>
              </w:rPr>
            </w:pPr>
            <w:r w:rsidRPr="00FF0AFA">
              <w:rPr>
                <w:rFonts w:asciiTheme="majorHAnsi" w:hAnsiTheme="majorHAnsi"/>
                <w:sz w:val="24"/>
                <w:szCs w:val="24"/>
              </w:rPr>
              <w:lastRenderedPageBreak/>
              <w:t>Exclusion criteria</w:t>
            </w:r>
          </w:p>
          <w:p w:rsidRPr="00FF0AFA" w:rsidR="00464D7A" w:rsidP="00DD7015" w:rsidRDefault="00464D7A" w14:paraId="0EE95FEE" w14:textId="77777777">
            <w:pPr>
              <w:rPr>
                <w:rFonts w:asciiTheme="majorHAnsi" w:hAnsiTheme="majorHAnsi"/>
                <w:sz w:val="24"/>
                <w:szCs w:val="24"/>
              </w:rPr>
            </w:pPr>
          </w:p>
        </w:tc>
      </w:tr>
      <w:tr w:rsidRPr="00FF0AFA" w:rsidR="00464D7A" w:rsidTr="00464D7A" w14:paraId="5F3432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464D7A" w:rsidP="00CA5892" w:rsidRDefault="002F7859" w14:paraId="0A25F1EA" w14:textId="1FB5C5FD">
            <w:r>
              <w:t>Attention deficit hyperactivity disorder</w:t>
            </w:r>
            <w:r w:rsidR="00464D7A">
              <w:t xml:space="preserve"> for young people attending secondary schools</w:t>
            </w:r>
            <w:r w:rsidR="0051043A">
              <w:t xml:space="preserve"> (11 -18 years) – refer to ELCAS</w:t>
            </w:r>
            <w:r w:rsidR="000D75A3">
              <w:t xml:space="preserve"> / CAMHS</w:t>
            </w:r>
          </w:p>
          <w:p w:rsidR="00464D7A" w:rsidP="00CA5892" w:rsidRDefault="00464D7A" w14:paraId="6CBE64F6" w14:textId="77777777"/>
        </w:tc>
      </w:tr>
      <w:tr w:rsidRPr="00FF0AFA" w:rsidR="00464D7A" w:rsidTr="00464D7A" w14:paraId="1FE548CE" w14:textId="77777777">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70729EF4" w14:textId="2FDBF676">
            <w:r>
              <w:t xml:space="preserve">Epilepsy diagnostic assessments </w:t>
            </w:r>
            <w:r w:rsidR="0051043A">
              <w:t xml:space="preserve">  - refer to </w:t>
            </w:r>
            <w:r>
              <w:t>General Paediatrics</w:t>
            </w:r>
          </w:p>
          <w:p w:rsidR="00464D7A" w:rsidP="00DD7015" w:rsidRDefault="00464D7A" w14:paraId="7848E77B" w14:textId="77777777"/>
        </w:tc>
      </w:tr>
      <w:tr w:rsidRPr="00FF0AFA" w:rsidR="0051043A" w:rsidTr="00464D7A" w14:paraId="261A6E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51043A" w:rsidP="00DD7015" w:rsidRDefault="0051043A" w14:paraId="789BE78A" w14:textId="542A74D9">
            <w:pPr>
              <w:rPr>
                <w:b w:val="0"/>
                <w:bCs w:val="0"/>
              </w:rPr>
            </w:pPr>
            <w:r>
              <w:t xml:space="preserve">Speech and Language Difficulties </w:t>
            </w:r>
            <w:proofErr w:type="gramStart"/>
            <w:r>
              <w:t>–  refer</w:t>
            </w:r>
            <w:proofErr w:type="gramEnd"/>
            <w:r>
              <w:t xml:space="preserve"> to Speech and Language Therapy (L</w:t>
            </w:r>
            <w:r w:rsidR="009827CF">
              <w:t>S</w:t>
            </w:r>
            <w:r>
              <w:t>CFT)</w:t>
            </w:r>
          </w:p>
          <w:p w:rsidR="0051043A" w:rsidP="00DD7015" w:rsidRDefault="0051043A" w14:paraId="39D471B1" w14:textId="2F660A0A"/>
        </w:tc>
      </w:tr>
      <w:tr w:rsidRPr="00FF0AFA" w:rsidR="009827CF" w:rsidTr="00464D7A" w14:paraId="3F701D58" w14:textId="77777777">
        <w:tc>
          <w:tcPr>
            <w:cnfStyle w:val="001000000000" w:firstRow="0" w:lastRow="0" w:firstColumn="1" w:lastColumn="0" w:oddVBand="0" w:evenVBand="0" w:oddHBand="0" w:evenHBand="0" w:firstRowFirstColumn="0" w:firstRowLastColumn="0" w:lastRowFirstColumn="0" w:lastRowLastColumn="0"/>
            <w:tcW w:w="9747" w:type="dxa"/>
          </w:tcPr>
          <w:p w:rsidR="009827CF" w:rsidP="00DD7015" w:rsidRDefault="009827CF" w14:paraId="5317323E" w14:textId="160DA775">
            <w:pPr>
              <w:rPr>
                <w:b w:val="0"/>
                <w:bCs w:val="0"/>
              </w:rPr>
            </w:pPr>
            <w:r>
              <w:t>Concerns about motor co-ordination</w:t>
            </w:r>
            <w:r w:rsidR="004E333F">
              <w:t xml:space="preserve"> </w:t>
            </w:r>
            <w:r>
              <w:t xml:space="preserve">– refer </w:t>
            </w:r>
            <w:r w:rsidR="004E333F">
              <w:t xml:space="preserve">first </w:t>
            </w:r>
            <w:r>
              <w:t>to Occupational Therapy (LSCFT)</w:t>
            </w:r>
            <w:r w:rsidR="004E333F">
              <w:t xml:space="preserve">. Referral to CNP is only required if there </w:t>
            </w:r>
            <w:proofErr w:type="gramStart"/>
            <w:r w:rsidR="004E333F">
              <w:t>is</w:t>
            </w:r>
            <w:proofErr w:type="gramEnd"/>
            <w:r w:rsidR="004E333F">
              <w:t xml:space="preserve"> concerns regarding underlying neurological or muscular condition</w:t>
            </w:r>
          </w:p>
          <w:p w:rsidR="004E333F" w:rsidP="00DD7015" w:rsidRDefault="004E333F" w14:paraId="2B8F9C68" w14:textId="53392A43"/>
        </w:tc>
      </w:tr>
      <w:tr w:rsidRPr="00FF0AFA" w:rsidR="00464D7A" w:rsidTr="00464D7A" w14:paraId="5C4950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9827CF" w:rsidP="009827CF" w:rsidRDefault="009827CF" w14:paraId="72E18267" w14:textId="77777777">
            <w:r>
              <w:t xml:space="preserve">CYP with Moderate or Severe Learning Disability and associated challenging behaviour should be referred to Learning Disability all age service (LSCFT) </w:t>
            </w:r>
            <w:proofErr w:type="gramStart"/>
            <w:r>
              <w:t>service</w:t>
            </w:r>
            <w:proofErr w:type="gramEnd"/>
            <w:r>
              <w:t xml:space="preserve"> </w:t>
            </w:r>
          </w:p>
          <w:p w:rsidR="00464D7A" w:rsidP="009827CF" w:rsidRDefault="00464D7A" w14:paraId="7CEE47E6" w14:textId="77777777"/>
        </w:tc>
      </w:tr>
      <w:tr w:rsidRPr="00FF0AFA" w:rsidR="00464D7A" w:rsidTr="00464D7A" w14:paraId="5161C8FE" w14:textId="77777777">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03A9862C" w14:textId="77777777">
            <w:r>
              <w:t xml:space="preserve">Inpatient care of children admitted to </w:t>
            </w:r>
            <w:proofErr w:type="gramStart"/>
            <w:r>
              <w:t>hospital</w:t>
            </w:r>
            <w:proofErr w:type="gramEnd"/>
          </w:p>
          <w:p w:rsidR="00464D7A" w:rsidP="00DD7015" w:rsidRDefault="00464D7A" w14:paraId="198D00BB" w14:textId="77777777"/>
        </w:tc>
      </w:tr>
      <w:tr w:rsidRPr="00FF0AFA" w:rsidR="00464D7A" w:rsidTr="00464D7A" w14:paraId="317C0C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2F68A7EB" w14:textId="77777777">
            <w:r>
              <w:t xml:space="preserve">Any children requiring specialist CAMHS provision or acute Paediatric </w:t>
            </w:r>
            <w:proofErr w:type="gramStart"/>
            <w:r>
              <w:t>input</w:t>
            </w:r>
            <w:proofErr w:type="gramEnd"/>
          </w:p>
          <w:p w:rsidR="00464D7A" w:rsidP="00DD7015" w:rsidRDefault="00464D7A" w14:paraId="5CFEAE92" w14:textId="77777777"/>
        </w:tc>
      </w:tr>
      <w:tr w:rsidRPr="00FF0AFA" w:rsidR="00464D7A" w:rsidTr="00464D7A" w14:paraId="056C93C8" w14:textId="77777777">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7F04E92B" w14:textId="32942C39">
            <w:r>
              <w:t xml:space="preserve">Concerns about hearing should be referred directly to </w:t>
            </w:r>
            <w:proofErr w:type="gramStart"/>
            <w:r>
              <w:t>audiology</w:t>
            </w:r>
            <w:proofErr w:type="gramEnd"/>
          </w:p>
          <w:p w:rsidR="00464D7A" w:rsidP="00DD7015" w:rsidRDefault="00464D7A" w14:paraId="7A7213C0" w14:textId="77777777"/>
        </w:tc>
      </w:tr>
      <w:tr w:rsidRPr="00FF0AFA" w:rsidR="00464D7A" w:rsidTr="00464D7A" w14:paraId="6FA462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316E09D8" w14:textId="6B11BE45">
            <w:r>
              <w:t>Concerns about vision/squint should be referred directly to orthoptic clinic</w:t>
            </w:r>
            <w:r w:rsidR="0051043A">
              <w:t xml:space="preserve"> or </w:t>
            </w:r>
            <w:proofErr w:type="gramStart"/>
            <w:r w:rsidR="0051043A">
              <w:t>ophthalmology</w:t>
            </w:r>
            <w:proofErr w:type="gramEnd"/>
          </w:p>
          <w:p w:rsidR="00464D7A" w:rsidP="00DD7015" w:rsidRDefault="00464D7A" w14:paraId="657C610F" w14:textId="77777777"/>
        </w:tc>
      </w:tr>
      <w:tr w:rsidRPr="00FF0AFA" w:rsidR="00464D7A" w:rsidTr="00464D7A" w14:paraId="07E43B16" w14:textId="77777777">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10555220" w14:textId="77777777">
            <w:r>
              <w:t>Specific learning difficulties (</w:t>
            </w:r>
            <w:proofErr w:type="spellStart"/>
            <w:r>
              <w:t>eg</w:t>
            </w:r>
            <w:proofErr w:type="spellEnd"/>
            <w:r>
              <w:t xml:space="preserve"> </w:t>
            </w:r>
            <w:proofErr w:type="gramStart"/>
            <w:r>
              <w:t>dyslexia)  should</w:t>
            </w:r>
            <w:proofErr w:type="gramEnd"/>
            <w:r>
              <w:t xml:space="preserve"> be assessed by the school SENCO and/or Educational Psychologist</w:t>
            </w:r>
          </w:p>
          <w:p w:rsidR="00464D7A" w:rsidP="00DD7015" w:rsidRDefault="00464D7A" w14:paraId="343C49B4" w14:textId="77777777"/>
        </w:tc>
      </w:tr>
      <w:tr w:rsidRPr="00FF0AFA" w:rsidR="00464D7A" w:rsidTr="00464D7A" w14:paraId="5C3C2D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59BB7369" w14:textId="34837C84">
            <w:r>
              <w:t>Section 47 child protection me</w:t>
            </w:r>
            <w:r w:rsidR="00405EFB">
              <w:t xml:space="preserve">dicals should be referred to </w:t>
            </w:r>
            <w:r w:rsidR="0051043A">
              <w:t>Children’s Social Care. Social Worker will request Safeguarding medical via ELHT</w:t>
            </w:r>
            <w:r w:rsidR="00405EFB">
              <w:t xml:space="preserve"> switchboard</w:t>
            </w:r>
            <w:r w:rsidR="0051043A">
              <w:t xml:space="preserve"> if </w:t>
            </w:r>
            <w:proofErr w:type="gramStart"/>
            <w:r w:rsidR="0051043A">
              <w:t>required</w:t>
            </w:r>
            <w:proofErr w:type="gramEnd"/>
          </w:p>
          <w:p w:rsidR="00464D7A" w:rsidP="00DD7015" w:rsidRDefault="00464D7A" w14:paraId="07477ABC" w14:textId="77777777"/>
        </w:tc>
      </w:tr>
      <w:tr w:rsidRPr="00FF0AFA" w:rsidR="00464D7A" w:rsidTr="00464D7A" w14:paraId="4CEE99EC" w14:textId="77777777">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0BB8D154" w14:textId="77777777">
            <w:r>
              <w:t xml:space="preserve">Children with emotional or behavioural problems who fall short of the access criteria for specialist CAMHS should not routinely be referred to a Community Paediatrician as an alternative to CAMHS unless the child/young </w:t>
            </w:r>
            <w:r w:rsidR="00405EFB">
              <w:t>person also has physical symptoms</w:t>
            </w:r>
            <w:r>
              <w:t xml:space="preserve"> which would indicate the need for a paediatric assessment.  These children and young people are usually better served by front-line services in education and social care and/or the voluntary sector.  Alternatively, advice can be taken from the local CAMHS </w:t>
            </w:r>
            <w:proofErr w:type="gramStart"/>
            <w:r>
              <w:t>team</w:t>
            </w:r>
            <w:proofErr w:type="gramEnd"/>
          </w:p>
          <w:p w:rsidR="00464D7A" w:rsidP="00DD7015" w:rsidRDefault="00464D7A" w14:paraId="4C434D05" w14:textId="77777777"/>
        </w:tc>
      </w:tr>
      <w:tr w:rsidRPr="00FF0AFA" w:rsidR="00464D7A" w:rsidTr="00464D7A" w14:paraId="39CBBC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9827CF" w:rsidP="009827CF" w:rsidRDefault="009827CF" w14:paraId="3DCE3615" w14:textId="77777777">
            <w:r>
              <w:t>Palliative care services</w:t>
            </w:r>
          </w:p>
          <w:p w:rsidR="00464D7A" w:rsidP="009827CF" w:rsidRDefault="00464D7A" w14:paraId="5B71DA2C" w14:textId="77777777"/>
        </w:tc>
      </w:tr>
      <w:tr w:rsidRPr="00FF0AFA" w:rsidR="00464D7A" w:rsidTr="00464D7A" w14:paraId="41054A0A" w14:textId="77777777">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5812FC63" w14:textId="1139C34E">
            <w:r>
              <w:t>Complex behavioural problems requiring specialist medication should have access to assessment and treatment by a child psychiatrist</w:t>
            </w:r>
            <w:r w:rsidR="0051043A">
              <w:t xml:space="preserve"> or Learning disability </w:t>
            </w:r>
            <w:proofErr w:type="gramStart"/>
            <w:r w:rsidR="0051043A">
              <w:t>psychiatrist</w:t>
            </w:r>
            <w:proofErr w:type="gramEnd"/>
          </w:p>
          <w:p w:rsidR="00464D7A" w:rsidP="00DD7015" w:rsidRDefault="00464D7A" w14:paraId="6B69483D" w14:textId="77777777"/>
        </w:tc>
      </w:tr>
      <w:tr w:rsidRPr="00FF0AFA" w:rsidR="00464D7A" w:rsidTr="00464D7A" w14:paraId="2559AB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464D7A" w:rsidP="00DD7015" w:rsidRDefault="00464D7A" w14:paraId="02F64178" w14:textId="77777777">
            <w:r>
              <w:t xml:space="preserve">Children may require additional support in the transition to adult </w:t>
            </w:r>
            <w:proofErr w:type="gramStart"/>
            <w:r>
              <w:t>services</w:t>
            </w:r>
            <w:proofErr w:type="gramEnd"/>
          </w:p>
          <w:p w:rsidR="00464D7A" w:rsidP="00DD7015" w:rsidRDefault="00464D7A" w14:paraId="3C3A5849" w14:textId="77777777"/>
        </w:tc>
      </w:tr>
    </w:tbl>
    <w:p w:rsidR="00F74662" w:rsidP="004E333F" w:rsidRDefault="00F74662" w14:paraId="7C07142F" w14:textId="77777777"/>
    <w:sectPr w:rsidR="00F74662" w:rsidSect="00F74662">
      <w:headerReference w:type="default" r:id="rId8"/>
      <w:footerReference w:type="default" r:id="rId9"/>
      <w:pgSz w:w="11906" w:h="16838" w:orient="portrait"/>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340" w:rsidP="00F74662" w:rsidRDefault="00E60340" w14:paraId="25FD0EE1" w14:textId="77777777">
      <w:pPr>
        <w:spacing w:after="0" w:line="240" w:lineRule="auto"/>
      </w:pPr>
      <w:r>
        <w:separator/>
      </w:r>
    </w:p>
  </w:endnote>
  <w:endnote w:type="continuationSeparator" w:id="0">
    <w:p w:rsidR="00E60340" w:rsidP="00F74662" w:rsidRDefault="00E60340" w14:paraId="7C82D6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2BFD" w:rsidP="000B2BFD" w:rsidRDefault="000B2BFD" w14:paraId="5AE32930" w14:textId="77777777">
    <w:pPr>
      <w:pStyle w:val="xmsofooter"/>
      <w:shd w:val="clear" w:color="auto" w:fill="FFFFFF"/>
      <w:spacing w:before="0" w:beforeAutospacing="0" w:after="0" w:afterAutospacing="0"/>
      <w:jc w:val="right"/>
      <w:rPr>
        <w:rFonts w:ascii="Arial" w:hAnsi="Arial" w:cs="Arial"/>
        <w:color w:val="000000"/>
        <w:sz w:val="18"/>
        <w:szCs w:val="18"/>
        <w:bdr w:val="none" w:color="auto" w:sz="0" w:space="0" w:frame="1"/>
      </w:rPr>
    </w:pPr>
  </w:p>
  <w:p w:rsidR="000B2BFD" w:rsidP="621A6DB4" w:rsidRDefault="000B2BFD" w14:paraId="57B009C0" w14:textId="602A4DB3">
    <w:pPr>
      <w:pStyle w:val="xmsofooter"/>
      <w:shd w:val="clear" w:color="auto" w:fill="FFFFFF" w:themeFill="background1"/>
      <w:spacing w:before="0" w:beforeAutospacing="off" w:after="0" w:afterAutospacing="off"/>
      <w:jc w:val="right"/>
      <w:rPr>
        <w:rFonts w:ascii="Calibri" w:hAnsi="Calibri" w:cs="Calibri"/>
        <w:color w:val="000000"/>
      </w:rPr>
    </w:pPr>
    <w:r w:rsidR="621A6DB4">
      <w:rPr>
        <w:rFonts w:ascii="Arial" w:hAnsi="Arial" w:cs="Arial"/>
        <w:color w:val="000000"/>
        <w:sz w:val="18"/>
        <w:szCs w:val="18"/>
        <w:bdr w:val="none" w:color="auto" w:sz="0" w:space="0" w:frame="1"/>
      </w:rPr>
      <w:t xml:space="preserve">ELHT/Community </w:t>
    </w:r>
    <w:r w:rsidR="621A6DB4">
      <w:rPr>
        <w:rFonts w:ascii="Arial" w:hAnsi="Arial" w:cs="Arial"/>
        <w:color w:val="000000"/>
        <w:sz w:val="18"/>
        <w:szCs w:val="18"/>
        <w:bdr w:val="none" w:color="auto" w:sz="0" w:space="0" w:frame="1"/>
      </w:rPr>
      <w:t>&amp; Neurodisability</w:t>
    </w:r>
    <w:r w:rsidR="621A6DB4">
      <w:rPr>
        <w:rFonts w:ascii="Arial" w:hAnsi="Arial" w:cs="Arial"/>
        <w:color w:val="000000"/>
        <w:sz w:val="18"/>
        <w:szCs w:val="18"/>
        <w:bdr w:val="none" w:color="auto" w:sz="0" w:space="0" w:frame="1"/>
      </w:rPr>
      <w:t xml:space="preserve"> Paediatrics/Referral Criteria/</w:t>
    </w:r>
    <w:r w:rsidR="621A6DB4">
      <w:rPr>
        <w:rFonts w:ascii="Arial" w:hAnsi="Arial" w:cs="Arial"/>
        <w:color w:val="000000"/>
        <w:sz w:val="18"/>
        <w:szCs w:val="18"/>
        <w:bdr w:val="none" w:color="auto" w:sz="0" w:space="0" w:frame="1"/>
      </w:rPr>
      <w:t xml:space="preserve">v</w:t>
    </w:r>
    <w:r w:rsidR="621A6DB4">
      <w:rPr>
        <w:rFonts w:ascii="Arial" w:hAnsi="Arial" w:cs="Arial"/>
        <w:color w:val="000000"/>
        <w:sz w:val="18"/>
        <w:szCs w:val="18"/>
        <w:bdr w:val="none" w:color="auto" w:sz="0" w:space="0" w:frame="1"/>
      </w:rPr>
      <w:t xml:space="preserve">7</w:t>
    </w:r>
    <w:r w:rsidR="621A6DB4">
      <w:rPr>
        <w:rFonts w:ascii="Arial" w:hAnsi="Arial" w:cs="Arial"/>
        <w:color w:val="000000"/>
        <w:sz w:val="18"/>
        <w:szCs w:val="18"/>
        <w:bdr w:val="none" w:color="auto" w:sz="0" w:space="0" w:frame="1"/>
      </w:rPr>
      <w:t xml:space="preserve"> </w:t>
    </w:r>
    <w:r w:rsidR="621A6DB4">
      <w:rPr>
        <w:rFonts w:ascii="Arial" w:hAnsi="Arial" w:cs="Arial"/>
        <w:color w:val="000000"/>
        <w:sz w:val="18"/>
        <w:szCs w:val="18"/>
        <w:bdr w:val="none" w:color="auto" w:sz="0" w:space="0" w:frame="1"/>
      </w:rPr>
      <w:t xml:space="preserve">31/10/</w:t>
    </w:r>
    <w:r w:rsidR="621A6DB4">
      <w:rPr>
        <w:rFonts w:ascii="Arial" w:hAnsi="Arial" w:cs="Arial"/>
        <w:color w:val="000000"/>
        <w:sz w:val="18"/>
        <w:szCs w:val="18"/>
        <w:bdr w:val="none" w:color="auto" w:sz="0" w:space="0" w:frame="1"/>
      </w:rPr>
      <w:t xml:space="preserve">202</w:t>
    </w:r>
    <w:r w:rsidR="621A6DB4">
      <w:rPr>
        <w:rFonts w:ascii="Arial" w:hAnsi="Arial" w:cs="Arial"/>
        <w:color w:val="000000"/>
        <w:sz w:val="18"/>
        <w:szCs w:val="18"/>
        <w:bdr w:val="none" w:color="auto" w:sz="0" w:space="0" w:frame="1"/>
      </w:rPr>
      <w:t>4</w:t>
    </w:r>
  </w:p>
  <w:p w:rsidR="000B2BFD" w:rsidP="000B2BFD" w:rsidRDefault="000B2BFD" w14:paraId="1772F97F" w14:textId="07E8F551">
    <w:pPr>
      <w:pStyle w:val="xmsofooter"/>
      <w:shd w:val="clear" w:color="auto" w:fill="FFFFFF"/>
      <w:spacing w:before="0" w:beforeAutospacing="0" w:after="0" w:afterAutospacing="0"/>
      <w:jc w:val="right"/>
      <w:rPr>
        <w:rFonts w:ascii="Calibri" w:hAnsi="Calibri" w:cs="Calibri"/>
        <w:color w:val="000000"/>
      </w:rPr>
    </w:pPr>
    <w:r>
      <w:rPr>
        <w:rFonts w:ascii="Arial" w:hAnsi="Arial" w:cs="Arial"/>
        <w:color w:val="000000"/>
        <w:sz w:val="18"/>
        <w:szCs w:val="18"/>
        <w:bdr w:val="none" w:color="auto" w:sz="0" w:space="0" w:frame="1"/>
      </w:rPr>
      <w:t xml:space="preserve">For Review </w:t>
    </w:r>
    <w:r w:rsidR="004E333F">
      <w:rPr>
        <w:rFonts w:ascii="Arial" w:hAnsi="Arial" w:cs="Arial"/>
        <w:color w:val="000000"/>
        <w:sz w:val="18"/>
        <w:szCs w:val="18"/>
        <w:bdr w:val="none" w:color="auto" w:sz="0" w:space="0" w:frame="1"/>
      </w:rPr>
      <w:t>Dec 2026</w:t>
    </w:r>
  </w:p>
  <w:p w:rsidR="00E16CB7" w:rsidP="000B2BFD" w:rsidRDefault="00E16CB7" w14:paraId="30DA4272"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340" w:rsidP="00F74662" w:rsidRDefault="00E60340" w14:paraId="72A1C51F" w14:textId="77777777">
      <w:pPr>
        <w:spacing w:after="0" w:line="240" w:lineRule="auto"/>
      </w:pPr>
      <w:r>
        <w:separator/>
      </w:r>
    </w:p>
  </w:footnote>
  <w:footnote w:type="continuationSeparator" w:id="0">
    <w:p w:rsidR="00E60340" w:rsidP="00F74662" w:rsidRDefault="00E60340" w14:paraId="765289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17B0" w:rsidRDefault="000B2BFD" w14:paraId="01209DC6" w14:textId="77777777">
    <w:pPr>
      <w:pStyle w:val="Header"/>
    </w:pPr>
    <w:r>
      <w:rPr>
        <w:noProof/>
        <w:lang w:eastAsia="en-GB"/>
      </w:rPr>
      <w:drawing>
        <wp:anchor distT="0" distB="0" distL="114300" distR="114300" simplePos="0" relativeHeight="251658240" behindDoc="0" locked="0" layoutInCell="1" allowOverlap="1" wp14:anchorId="3EC466ED" wp14:editId="0FAD63B3">
          <wp:simplePos x="0" y="0"/>
          <wp:positionH relativeFrom="column">
            <wp:posOffset>4011731</wp:posOffset>
          </wp:positionH>
          <wp:positionV relativeFrom="paragraph">
            <wp:posOffset>-354965</wp:posOffset>
          </wp:positionV>
          <wp:extent cx="2240480" cy="9144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4542" cy="9160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C7465"/>
    <w:multiLevelType w:val="hybridMultilevel"/>
    <w:tmpl w:val="9888090E"/>
    <w:lvl w:ilvl="0" w:tplc="EFEE32FE">
      <w:start w:val="2"/>
      <w:numFmt w:val="bullet"/>
      <w:lvlText w:val="-"/>
      <w:lvlJc w:val="left"/>
      <w:pPr>
        <w:ind w:left="410" w:hanging="360"/>
      </w:pPr>
      <w:rPr>
        <w:rFonts w:hint="default" w:ascii="Calibri" w:hAnsi="Calibri" w:cs="Calibri" w:eastAsiaTheme="minorHAns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num w:numId="1" w16cid:durableId="164989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A1514D-3C69-4760-B742-65DEF0528E67}"/>
    <w:docVar w:name="dgnword-eventsink" w:val="119624232"/>
  </w:docVars>
  <w:rsids>
    <w:rsidRoot w:val="00F74662"/>
    <w:rsid w:val="0002529C"/>
    <w:rsid w:val="00066F27"/>
    <w:rsid w:val="000B2BFD"/>
    <w:rsid w:val="000D5461"/>
    <w:rsid w:val="000D75A3"/>
    <w:rsid w:val="0016060A"/>
    <w:rsid w:val="00166013"/>
    <w:rsid w:val="0018241F"/>
    <w:rsid w:val="00184BD8"/>
    <w:rsid w:val="001A7A59"/>
    <w:rsid w:val="002F7859"/>
    <w:rsid w:val="003063BB"/>
    <w:rsid w:val="0036228E"/>
    <w:rsid w:val="00387A17"/>
    <w:rsid w:val="00390B03"/>
    <w:rsid w:val="0039745B"/>
    <w:rsid w:val="00405EFB"/>
    <w:rsid w:val="00464D7A"/>
    <w:rsid w:val="004E333F"/>
    <w:rsid w:val="0051043A"/>
    <w:rsid w:val="005217B0"/>
    <w:rsid w:val="005A5E54"/>
    <w:rsid w:val="005E51E0"/>
    <w:rsid w:val="006528C7"/>
    <w:rsid w:val="006B15E1"/>
    <w:rsid w:val="00782F30"/>
    <w:rsid w:val="008E35F3"/>
    <w:rsid w:val="00935856"/>
    <w:rsid w:val="009827CF"/>
    <w:rsid w:val="00986AC0"/>
    <w:rsid w:val="009A0A01"/>
    <w:rsid w:val="00A3276D"/>
    <w:rsid w:val="00AE0CB9"/>
    <w:rsid w:val="00B26AE6"/>
    <w:rsid w:val="00B41CF2"/>
    <w:rsid w:val="00B9078E"/>
    <w:rsid w:val="00BC03C8"/>
    <w:rsid w:val="00C671F9"/>
    <w:rsid w:val="00CA5892"/>
    <w:rsid w:val="00CA5D91"/>
    <w:rsid w:val="00CE2EE4"/>
    <w:rsid w:val="00CF74C1"/>
    <w:rsid w:val="00D6608A"/>
    <w:rsid w:val="00DB77D3"/>
    <w:rsid w:val="00DD35D8"/>
    <w:rsid w:val="00DD7015"/>
    <w:rsid w:val="00E16CB7"/>
    <w:rsid w:val="00E17FD8"/>
    <w:rsid w:val="00E421B2"/>
    <w:rsid w:val="00E60340"/>
    <w:rsid w:val="00E8132A"/>
    <w:rsid w:val="00E85E29"/>
    <w:rsid w:val="00ED7A37"/>
    <w:rsid w:val="00F630DA"/>
    <w:rsid w:val="00F74662"/>
    <w:rsid w:val="00FD38FB"/>
    <w:rsid w:val="0A37726F"/>
    <w:rsid w:val="0C6D6239"/>
    <w:rsid w:val="195B168F"/>
    <w:rsid w:val="2FF2DBEE"/>
    <w:rsid w:val="3C663FAB"/>
    <w:rsid w:val="3CB34785"/>
    <w:rsid w:val="3DD4D7B5"/>
    <w:rsid w:val="5D4064BF"/>
    <w:rsid w:val="621A6DB4"/>
    <w:rsid w:val="6C3E5B6B"/>
    <w:rsid w:val="7781E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7CFC58"/>
  <w15:docId w15:val="{7E5DEEDF-E3C8-437E-90AB-D4557290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4662"/>
  </w:style>
  <w:style w:type="paragraph" w:styleId="Heading1">
    <w:name w:val="heading 1"/>
    <w:basedOn w:val="Normal"/>
    <w:next w:val="Normal"/>
    <w:link w:val="Heading1Char"/>
    <w:uiPriority w:val="9"/>
    <w:qFormat/>
    <w:rsid w:val="00F74662"/>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4662"/>
    <w:rPr>
      <w:rFonts w:asciiTheme="majorHAnsi" w:hAnsiTheme="majorHAnsi" w:eastAsiaTheme="majorEastAsia"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74662"/>
    <w:rPr>
      <w:sz w:val="16"/>
      <w:szCs w:val="16"/>
    </w:rPr>
  </w:style>
  <w:style w:type="paragraph" w:styleId="CommentText">
    <w:name w:val="annotation text"/>
    <w:basedOn w:val="Normal"/>
    <w:link w:val="CommentTextChar"/>
    <w:uiPriority w:val="99"/>
    <w:semiHidden/>
    <w:unhideWhenUsed/>
    <w:rsid w:val="00F74662"/>
    <w:pPr>
      <w:spacing w:line="240" w:lineRule="auto"/>
    </w:pPr>
    <w:rPr>
      <w:sz w:val="20"/>
      <w:szCs w:val="20"/>
    </w:rPr>
  </w:style>
  <w:style w:type="character" w:styleId="CommentTextChar" w:customStyle="1">
    <w:name w:val="Comment Text Char"/>
    <w:basedOn w:val="DefaultParagraphFont"/>
    <w:link w:val="CommentText"/>
    <w:uiPriority w:val="99"/>
    <w:semiHidden/>
    <w:rsid w:val="00F74662"/>
    <w:rPr>
      <w:sz w:val="20"/>
      <w:szCs w:val="20"/>
    </w:rPr>
  </w:style>
  <w:style w:type="table" w:styleId="LightShading-Accent1">
    <w:name w:val="Light Shading Accent 1"/>
    <w:basedOn w:val="TableNormal"/>
    <w:uiPriority w:val="60"/>
    <w:rsid w:val="00F74662"/>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F7466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74662"/>
    <w:rPr>
      <w:rFonts w:ascii="Tahoma" w:hAnsi="Tahoma" w:cs="Tahoma"/>
      <w:sz w:val="16"/>
      <w:szCs w:val="16"/>
    </w:rPr>
  </w:style>
  <w:style w:type="table" w:styleId="LightShading-Accent3">
    <w:name w:val="Light Shading Accent 3"/>
    <w:basedOn w:val="TableNormal"/>
    <w:uiPriority w:val="60"/>
    <w:rsid w:val="00F7466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74662"/>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746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662"/>
  </w:style>
  <w:style w:type="paragraph" w:styleId="Footer">
    <w:name w:val="footer"/>
    <w:basedOn w:val="Normal"/>
    <w:link w:val="FooterChar"/>
    <w:uiPriority w:val="99"/>
    <w:unhideWhenUsed/>
    <w:rsid w:val="00F746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662"/>
  </w:style>
  <w:style w:type="paragraph" w:styleId="xmsofooter" w:customStyle="1">
    <w:name w:val="x_msofooter"/>
    <w:basedOn w:val="Normal"/>
    <w:rsid w:val="000B2BF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CA5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1C5B4904EC7D4F9C92DFF58BC3F01E" ma:contentTypeVersion="6" ma:contentTypeDescription="Create a new document." ma:contentTypeScope="" ma:versionID="9c0d5b328b49470d060d30fecd02fbfb">
  <xsd:schema xmlns:xsd="http://www.w3.org/2001/XMLSchema" xmlns:xs="http://www.w3.org/2001/XMLSchema" xmlns:p="http://schemas.microsoft.com/office/2006/metadata/properties" xmlns:ns2="1104eeb5-df07-4d14-bb71-e64df9307c25" xmlns:ns3="7b286f67-168d-4cd8-99f1-4f804eb60c5f" targetNamespace="http://schemas.microsoft.com/office/2006/metadata/properties" ma:root="true" ma:fieldsID="9ea4760622ef09ce2759600695ee1724" ns2:_="" ns3:_="">
    <xsd:import namespace="1104eeb5-df07-4d14-bb71-e64df9307c25"/>
    <xsd:import namespace="7b286f67-168d-4cd8-99f1-4f804eb60c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eeb5-df07-4d14-bb71-e64df930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86f67-168d-4cd8-99f1-4f804eb60c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16EF3-FFAF-4408-B41F-FC8650160DD4}">
  <ds:schemaRefs>
    <ds:schemaRef ds:uri="http://schemas.openxmlformats.org/officeDocument/2006/bibliography"/>
  </ds:schemaRefs>
</ds:datastoreItem>
</file>

<file path=customXml/itemProps2.xml><?xml version="1.0" encoding="utf-8"?>
<ds:datastoreItem xmlns:ds="http://schemas.openxmlformats.org/officeDocument/2006/customXml" ds:itemID="{F8C6BAE0-4C36-43DF-8E7C-03CAAF4D8F24}"/>
</file>

<file path=customXml/itemProps3.xml><?xml version="1.0" encoding="utf-8"?>
<ds:datastoreItem xmlns:ds="http://schemas.openxmlformats.org/officeDocument/2006/customXml" ds:itemID="{E4F2E4B7-A6CD-4884-B2EB-D09EF6803681}"/>
</file>

<file path=customXml/itemProps4.xml><?xml version="1.0" encoding="utf-8"?>
<ds:datastoreItem xmlns:ds="http://schemas.openxmlformats.org/officeDocument/2006/customXml" ds:itemID="{ADD4DB1A-CF4E-4A23-A045-CB46DE6E72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Lancashire Care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Harter Lucinda (LCFT)</dc:creator>
  <lastModifiedBy>Wood Petra (ELHT) Performance &amp; Informatics</lastModifiedBy>
  <revision>12</revision>
  <lastPrinted>2020-02-14T13:35:00.0000000Z</lastPrinted>
  <dcterms:created xsi:type="dcterms:W3CDTF">2024-03-07T12:24:00.0000000Z</dcterms:created>
  <dcterms:modified xsi:type="dcterms:W3CDTF">2024-10-31T11:58:28.0472440Z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1cbe3264-e401-4d47-9aff-1379be15472d</vt:lpwstr>
  </property>
  <property fmtid="{D5CDD505-2E9C-101B-9397-08002B2CF9AE}" pid="3" name="ContentTypeId">
    <vt:lpwstr>0x010100741C5B4904EC7D4F9C92DFF58BC3F01E</vt:lpwstr>
  </property>
</Properties>
</file>