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3940" w14:textId="298FA1EB" w:rsidR="00467F80" w:rsidRDefault="00300F2A" w:rsidP="00767A9A">
      <w:pPr>
        <w:rPr>
          <w:rFonts w:ascii="Arial" w:hAnsi="Arial" w:cs="Arial"/>
        </w:rPr>
      </w:pPr>
      <w:hyperlink r:id="rId6" w:history="1">
        <w:r w:rsidRPr="00A43D7B">
          <w:rPr>
            <w:rStyle w:val="Hyperlink"/>
            <w:rFonts w:ascii="Arial" w:hAnsi="Arial" w:cs="Arial"/>
          </w:rPr>
          <w:t>https://www.e-lfh.org.uk/programmes/dysphagiaguide/</w:t>
        </w:r>
      </w:hyperlink>
    </w:p>
    <w:p w14:paraId="31AF89E0" w14:textId="6CB10F2B" w:rsidR="0053127B" w:rsidRDefault="009C3493" w:rsidP="00767A9A">
      <w:pPr>
        <w:rPr>
          <w:rFonts w:ascii="Arial" w:hAnsi="Arial" w:cs="Arial"/>
        </w:rPr>
      </w:pPr>
      <w:r>
        <w:rPr>
          <w:rFonts w:ascii="Arial" w:hAnsi="Arial" w:cs="Arial"/>
        </w:rPr>
        <w:t>This webpage p</w:t>
      </w:r>
      <w:r w:rsidR="00467F80">
        <w:rPr>
          <w:rFonts w:ascii="Arial" w:hAnsi="Arial" w:cs="Arial"/>
        </w:rPr>
        <w:t xml:space="preserve">rovides an overview of the </w:t>
      </w:r>
      <w:r>
        <w:rPr>
          <w:rFonts w:ascii="Arial" w:hAnsi="Arial" w:cs="Arial"/>
        </w:rPr>
        <w:t xml:space="preserve">HEE Dysphagia Guide </w:t>
      </w:r>
      <w:r w:rsidR="00467F80">
        <w:rPr>
          <w:rFonts w:ascii="Arial" w:hAnsi="Arial" w:cs="Arial"/>
        </w:rPr>
        <w:t xml:space="preserve">eLearning and its relevance to health and social care staff. </w:t>
      </w:r>
    </w:p>
    <w:p w14:paraId="3849BEAF" w14:textId="5E4BC53C" w:rsidR="00467F80" w:rsidRDefault="0053619B" w:rsidP="00767A9A">
      <w:pPr>
        <w:rPr>
          <w:rFonts w:ascii="Arial" w:hAnsi="Arial" w:cs="Arial"/>
        </w:rPr>
      </w:pPr>
      <w:r>
        <w:rPr>
          <w:rFonts w:ascii="Arial" w:hAnsi="Arial" w:cs="Arial"/>
        </w:rPr>
        <w:t>Module 1</w:t>
      </w:r>
      <w:r w:rsidRPr="0053619B">
        <w:rPr>
          <w:rFonts w:ascii="Arial" w:hAnsi="Arial" w:cs="Arial"/>
        </w:rPr>
        <w:t xml:space="preserve"> </w:t>
      </w:r>
      <w:r w:rsidR="0053127B">
        <w:rPr>
          <w:rFonts w:ascii="Arial" w:hAnsi="Arial" w:cs="Arial"/>
        </w:rPr>
        <w:t>‘</w:t>
      </w:r>
      <w:r w:rsidRPr="0053619B">
        <w:rPr>
          <w:rFonts w:ascii="Arial" w:hAnsi="Arial" w:cs="Arial"/>
        </w:rPr>
        <w:t>Essentials</w:t>
      </w:r>
      <w:r w:rsidR="0053127B">
        <w:rPr>
          <w:rFonts w:ascii="Arial" w:hAnsi="Arial" w:cs="Arial"/>
        </w:rPr>
        <w:t>’</w:t>
      </w:r>
      <w:r w:rsidRPr="0053619B">
        <w:rPr>
          <w:rFonts w:ascii="Arial" w:hAnsi="Arial" w:cs="Arial"/>
        </w:rPr>
        <w:t xml:space="preserve"> and the relevant sections of </w:t>
      </w:r>
      <w:r w:rsidR="0053127B">
        <w:rPr>
          <w:rFonts w:ascii="Arial" w:hAnsi="Arial" w:cs="Arial"/>
        </w:rPr>
        <w:t>module 3 ‘</w:t>
      </w:r>
      <w:r w:rsidRPr="0053619B">
        <w:rPr>
          <w:rFonts w:ascii="Arial" w:hAnsi="Arial" w:cs="Arial"/>
        </w:rPr>
        <w:t>Food</w:t>
      </w:r>
      <w:r w:rsidR="0053127B">
        <w:rPr>
          <w:rFonts w:ascii="Arial" w:hAnsi="Arial" w:cs="Arial"/>
        </w:rPr>
        <w:t>’ are advised for any staff role -</w:t>
      </w:r>
      <w:r w:rsidRPr="0053619B">
        <w:rPr>
          <w:rFonts w:ascii="Arial" w:hAnsi="Arial" w:cs="Arial"/>
        </w:rPr>
        <w:t xml:space="preserve"> you may find the other sessions helpful</w:t>
      </w:r>
      <w:r w:rsidR="0053127B">
        <w:rPr>
          <w:rFonts w:ascii="Arial" w:hAnsi="Arial" w:cs="Arial"/>
        </w:rPr>
        <w:t xml:space="preserve"> and the matrix below</w:t>
      </w:r>
      <w:r w:rsidR="009C51B7">
        <w:rPr>
          <w:rFonts w:ascii="Arial" w:hAnsi="Arial" w:cs="Arial"/>
        </w:rPr>
        <w:t>, produced by ELHT Speech &amp; Language Therapy service,</w:t>
      </w:r>
      <w:r w:rsidR="0053127B">
        <w:rPr>
          <w:rFonts w:ascii="Arial" w:hAnsi="Arial" w:cs="Arial"/>
        </w:rPr>
        <w:t xml:space="preserve"> is a guide on how managers can prioritise staff learning tim</w:t>
      </w:r>
      <w:r w:rsidR="009C51B7">
        <w:rPr>
          <w:rFonts w:ascii="Arial" w:hAnsi="Arial" w:cs="Arial"/>
        </w:rPr>
        <w:t>e</w:t>
      </w:r>
      <w:r w:rsidRPr="0053619B">
        <w:rPr>
          <w:rFonts w:ascii="Arial" w:hAnsi="Arial" w:cs="Arial"/>
        </w:rPr>
        <w:t>.</w:t>
      </w:r>
    </w:p>
    <w:p w14:paraId="7E62EB5E" w14:textId="18A91B08" w:rsidR="009C3493" w:rsidRPr="00467F80" w:rsidRDefault="00467F80" w:rsidP="00467F80">
      <w:pPr>
        <w:rPr>
          <w:rFonts w:ascii="Arial" w:hAnsi="Arial" w:cs="Arial"/>
        </w:rPr>
      </w:pPr>
      <w:r>
        <w:rPr>
          <w:rFonts w:ascii="Arial" w:hAnsi="Arial" w:cs="Arial"/>
        </w:rPr>
        <w:t>Click ‘view’ or ‘register’ in the ‘how to access’ section at the bottom of this page to enter the training modules.</w:t>
      </w:r>
      <w:r w:rsidR="0053619B">
        <w:rPr>
          <w:rFonts w:ascii="Arial" w:hAnsi="Arial" w:cs="Arial"/>
        </w:rPr>
        <w:t xml:space="preserve"> </w:t>
      </w:r>
      <w:r w:rsidR="00767A9A" w:rsidRPr="00923E73">
        <w:rPr>
          <w:rFonts w:ascii="Arial" w:hAnsi="Arial" w:cs="Arial"/>
        </w:rPr>
        <w:t>Registration is advised if care homes wish to track progress of staff. However, you do not need to register to access the training.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2582"/>
        <w:gridCol w:w="2724"/>
        <w:gridCol w:w="1849"/>
        <w:gridCol w:w="1876"/>
        <w:gridCol w:w="1812"/>
      </w:tblGrid>
      <w:tr w:rsidR="0053619B" w:rsidRPr="00923E73" w14:paraId="28E148FD" w14:textId="77777777" w:rsidTr="007A714B">
        <w:tc>
          <w:tcPr>
            <w:tcW w:w="5665" w:type="dxa"/>
          </w:tcPr>
          <w:p w14:paraId="5179E698" w14:textId="7A020A8C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b/>
                <w:bCs/>
                <w:sz w:val="32"/>
                <w:szCs w:val="32"/>
              </w:rPr>
              <w:t>Module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02B50" w14:textId="20BD0580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color w:val="000000"/>
                <w:sz w:val="32"/>
                <w:szCs w:val="32"/>
              </w:rPr>
              <w:t>Kitchen/Catering Staff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A6A96" w14:textId="380D1D2D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color w:val="000000"/>
                <w:sz w:val="32"/>
                <w:szCs w:val="32"/>
              </w:rPr>
              <w:t>Health Care Assistants/Carers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7E41E" w14:textId="312985BF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color w:val="000000"/>
                <w:sz w:val="32"/>
                <w:szCs w:val="32"/>
              </w:rPr>
              <w:t>Registered Nurses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734C1" w14:textId="20FCC356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color w:val="000000"/>
                <w:sz w:val="32"/>
                <w:szCs w:val="32"/>
              </w:rPr>
              <w:t xml:space="preserve">Dysphagia Champions 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EFB27F" w14:textId="1BDE70A5" w:rsidR="00767A9A" w:rsidRPr="00923E73" w:rsidRDefault="00767A9A" w:rsidP="00ED3EB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23E73">
              <w:rPr>
                <w:rFonts w:ascii="Arial" w:hAnsi="Arial" w:cs="Arial"/>
                <w:color w:val="000000"/>
                <w:sz w:val="32"/>
                <w:szCs w:val="32"/>
              </w:rPr>
              <w:t xml:space="preserve">Home Managers </w:t>
            </w:r>
          </w:p>
        </w:tc>
      </w:tr>
      <w:tr w:rsidR="0053619B" w:rsidRPr="00923E73" w14:paraId="41003E9D" w14:textId="77777777" w:rsidTr="00923E73">
        <w:tc>
          <w:tcPr>
            <w:tcW w:w="5665" w:type="dxa"/>
          </w:tcPr>
          <w:p w14:paraId="65B9E47B" w14:textId="72546F16" w:rsidR="00767A9A" w:rsidRPr="00923E73" w:rsidRDefault="00767A9A" w:rsidP="00C2778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 xml:space="preserve">1) Essentials 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77F22F8" w14:textId="520D241E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536D473B" w14:textId="0C3D38F7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25272AF" w14:textId="289EF280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50066BA8" w14:textId="0F33EA26" w:rsidR="00767A9A" w:rsidRPr="00923E73" w:rsidRDefault="007A714B" w:rsidP="007A714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215CDBD5" w14:textId="573EE0BE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</w:tr>
      <w:tr w:rsidR="0053619B" w:rsidRPr="00923E73" w14:paraId="3AF2B94E" w14:textId="77777777" w:rsidTr="009B0DBF">
        <w:tc>
          <w:tcPr>
            <w:tcW w:w="5665" w:type="dxa"/>
          </w:tcPr>
          <w:p w14:paraId="416EF5CA" w14:textId="26394F22" w:rsidR="00767A9A" w:rsidRPr="00923E73" w:rsidRDefault="00767A9A" w:rsidP="00C2778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>2)</w:t>
            </w:r>
            <w:r w:rsidR="005361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23E73">
              <w:rPr>
                <w:rFonts w:ascii="Arial" w:hAnsi="Arial" w:cs="Arial"/>
                <w:sz w:val="28"/>
                <w:szCs w:val="28"/>
              </w:rPr>
              <w:t xml:space="preserve">Training and Resources 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58D80E50" w14:textId="2964FD7F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3A9FB49" w14:textId="2B8F8785" w:rsidR="00767A9A" w:rsidRPr="00923E73" w:rsidRDefault="007A714B" w:rsidP="007A714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5B1A12C2" w14:textId="19E0A931" w:rsidR="00767A9A" w:rsidRPr="00923E73" w:rsidRDefault="00435112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124E8468" w14:textId="06DF60BE" w:rsidR="00767A9A" w:rsidRPr="00923E73" w:rsidRDefault="007A714B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693A3AC8" w14:textId="28D1ACCB" w:rsidR="00767A9A" w:rsidRPr="00923E73" w:rsidRDefault="00435112" w:rsidP="00ED3E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Advised</w:t>
            </w:r>
          </w:p>
        </w:tc>
      </w:tr>
      <w:tr w:rsidR="0053619B" w:rsidRPr="00923E73" w14:paraId="4D435772" w14:textId="77777777" w:rsidTr="009C3493">
        <w:trPr>
          <w:trHeight w:val="450"/>
        </w:trPr>
        <w:tc>
          <w:tcPr>
            <w:tcW w:w="5665" w:type="dxa"/>
          </w:tcPr>
          <w:p w14:paraId="0CBBA734" w14:textId="39FFD273" w:rsidR="00767A9A" w:rsidRPr="00923E73" w:rsidRDefault="00767A9A" w:rsidP="00C2778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 xml:space="preserve">3) Food </w:t>
            </w:r>
          </w:p>
        </w:tc>
        <w:tc>
          <w:tcPr>
            <w:tcW w:w="1595" w:type="dxa"/>
            <w:shd w:val="clear" w:color="auto" w:fill="92D050"/>
          </w:tcPr>
          <w:p w14:paraId="160A1C68" w14:textId="0703EA49" w:rsidR="00767A9A" w:rsidRPr="00923E73" w:rsidRDefault="007A714B" w:rsidP="007A714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  <w:r w:rsidR="009C3493">
              <w:rPr>
                <w:rFonts w:ascii="Arial" w:hAnsi="Arial" w:cs="Arial"/>
                <w:sz w:val="32"/>
                <w:szCs w:val="32"/>
              </w:rPr>
              <w:t xml:space="preserve"> (relevant sections)</w:t>
            </w:r>
          </w:p>
        </w:tc>
        <w:tc>
          <w:tcPr>
            <w:tcW w:w="2466" w:type="dxa"/>
            <w:shd w:val="clear" w:color="auto" w:fill="FFC000"/>
          </w:tcPr>
          <w:p w14:paraId="1CF08332" w14:textId="1C1C329B" w:rsidR="00767A9A" w:rsidRPr="00923E73" w:rsidRDefault="009C3493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Advised (relevant sections)</w:t>
            </w:r>
          </w:p>
        </w:tc>
        <w:tc>
          <w:tcPr>
            <w:tcW w:w="1883" w:type="dxa"/>
            <w:shd w:val="clear" w:color="auto" w:fill="FFFF00"/>
          </w:tcPr>
          <w:p w14:paraId="51E5DE98" w14:textId="6FD12A47" w:rsidR="00767A9A" w:rsidRPr="00923E73" w:rsidRDefault="009C3493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  <w:tc>
          <w:tcPr>
            <w:tcW w:w="1892" w:type="dxa"/>
            <w:shd w:val="clear" w:color="auto" w:fill="92D050"/>
          </w:tcPr>
          <w:p w14:paraId="7A99475B" w14:textId="7203A51F" w:rsidR="00767A9A" w:rsidRPr="00923E73" w:rsidRDefault="009C3493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  <w:r>
              <w:rPr>
                <w:rFonts w:ascii="Arial" w:hAnsi="Arial" w:cs="Arial"/>
                <w:sz w:val="32"/>
                <w:szCs w:val="32"/>
              </w:rPr>
              <w:t xml:space="preserve"> (relevant sections)</w:t>
            </w:r>
          </w:p>
        </w:tc>
        <w:tc>
          <w:tcPr>
            <w:tcW w:w="1882" w:type="dxa"/>
            <w:shd w:val="clear" w:color="auto" w:fill="A6A6A6" w:themeFill="background1" w:themeFillShade="A6"/>
          </w:tcPr>
          <w:p w14:paraId="65535B9A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19B" w:rsidRPr="00923E73" w14:paraId="211323BE" w14:textId="77777777" w:rsidTr="00435112">
        <w:tc>
          <w:tcPr>
            <w:tcW w:w="5665" w:type="dxa"/>
          </w:tcPr>
          <w:p w14:paraId="2B7E8C34" w14:textId="07198DAD" w:rsidR="00767A9A" w:rsidRPr="00923E73" w:rsidRDefault="00767A9A" w:rsidP="00C2778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>4)</w:t>
            </w:r>
            <w:r w:rsidR="005361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23E73">
              <w:rPr>
                <w:rFonts w:ascii="Arial" w:hAnsi="Arial" w:cs="Arial"/>
                <w:sz w:val="28"/>
                <w:szCs w:val="28"/>
              </w:rPr>
              <w:t>Quality and Safety</w:t>
            </w:r>
          </w:p>
        </w:tc>
        <w:tc>
          <w:tcPr>
            <w:tcW w:w="1595" w:type="dxa"/>
            <w:shd w:val="clear" w:color="auto" w:fill="A6A6A6" w:themeFill="background1" w:themeFillShade="A6"/>
          </w:tcPr>
          <w:p w14:paraId="30D56DED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6A6A6" w:themeFill="background1" w:themeFillShade="A6"/>
          </w:tcPr>
          <w:p w14:paraId="06E6D812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3" w:type="dxa"/>
            <w:shd w:val="clear" w:color="auto" w:fill="FFFF00"/>
          </w:tcPr>
          <w:p w14:paraId="60FBDC24" w14:textId="711B7497" w:rsidR="00767A9A" w:rsidRPr="00435112" w:rsidRDefault="007A714B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  <w:tc>
          <w:tcPr>
            <w:tcW w:w="1892" w:type="dxa"/>
            <w:shd w:val="clear" w:color="auto" w:fill="92D050"/>
          </w:tcPr>
          <w:p w14:paraId="3939345C" w14:textId="72ABE75A" w:rsidR="00767A9A" w:rsidRPr="00435112" w:rsidRDefault="007A714B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2" w:type="dxa"/>
            <w:shd w:val="clear" w:color="auto" w:fill="FFC000"/>
          </w:tcPr>
          <w:p w14:paraId="629A7ABF" w14:textId="71349D75" w:rsidR="00767A9A" w:rsidRPr="00435112" w:rsidRDefault="00435112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Advised</w:t>
            </w:r>
          </w:p>
        </w:tc>
      </w:tr>
      <w:tr w:rsidR="0053619B" w:rsidRPr="00923E73" w14:paraId="1EB24E4B" w14:textId="77777777" w:rsidTr="00923E73">
        <w:tc>
          <w:tcPr>
            <w:tcW w:w="5665" w:type="dxa"/>
          </w:tcPr>
          <w:p w14:paraId="764EE60B" w14:textId="3072898A" w:rsidR="00767A9A" w:rsidRPr="00923E73" w:rsidRDefault="00767A9A" w:rsidP="00C2778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>5)</w:t>
            </w:r>
            <w:r w:rsidR="005361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23E73">
              <w:rPr>
                <w:rFonts w:ascii="Arial" w:hAnsi="Arial" w:cs="Arial"/>
                <w:sz w:val="28"/>
                <w:szCs w:val="28"/>
              </w:rPr>
              <w:t>Workforce</w:t>
            </w:r>
          </w:p>
        </w:tc>
        <w:tc>
          <w:tcPr>
            <w:tcW w:w="1595" w:type="dxa"/>
            <w:shd w:val="clear" w:color="auto" w:fill="A6A6A6" w:themeFill="background1" w:themeFillShade="A6"/>
          </w:tcPr>
          <w:p w14:paraId="4BDC32C6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A6A6A6" w:themeFill="background1" w:themeFillShade="A6"/>
          </w:tcPr>
          <w:p w14:paraId="5994BCA8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3" w:type="dxa"/>
            <w:shd w:val="clear" w:color="auto" w:fill="A6A6A6" w:themeFill="background1" w:themeFillShade="A6"/>
          </w:tcPr>
          <w:p w14:paraId="3A1653FF" w14:textId="77777777" w:rsidR="00767A9A" w:rsidRPr="00435112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A6A6A6" w:themeFill="background1" w:themeFillShade="A6"/>
          </w:tcPr>
          <w:p w14:paraId="05A124BF" w14:textId="77777777" w:rsidR="00767A9A" w:rsidRPr="00435112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2" w:type="dxa"/>
            <w:shd w:val="clear" w:color="auto" w:fill="92D050"/>
          </w:tcPr>
          <w:p w14:paraId="120B7554" w14:textId="60C7AA00" w:rsidR="00767A9A" w:rsidRPr="00435112" w:rsidRDefault="00923E73" w:rsidP="00923E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</w:tr>
      <w:tr w:rsidR="0053619B" w:rsidRPr="00923E73" w14:paraId="38833409" w14:textId="77777777" w:rsidTr="00435112">
        <w:tc>
          <w:tcPr>
            <w:tcW w:w="5665" w:type="dxa"/>
          </w:tcPr>
          <w:p w14:paraId="52A5D0F1" w14:textId="3DB9621C" w:rsidR="00C27788" w:rsidRPr="00923E73" w:rsidRDefault="00767A9A" w:rsidP="00ED3EB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 xml:space="preserve">6) Assessment </w:t>
            </w:r>
          </w:p>
          <w:p w14:paraId="39725D0D" w14:textId="2583E4F3" w:rsidR="00767A9A" w:rsidRPr="00923E73" w:rsidRDefault="00767A9A" w:rsidP="00ED3EB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i/>
                <w:iCs/>
                <w:sz w:val="24"/>
                <w:szCs w:val="24"/>
              </w:rPr>
              <w:t>a) Health and Care Staff</w:t>
            </w:r>
          </w:p>
        </w:tc>
        <w:tc>
          <w:tcPr>
            <w:tcW w:w="1595" w:type="dxa"/>
            <w:shd w:val="clear" w:color="auto" w:fill="A6A6A6" w:themeFill="background1" w:themeFillShade="A6"/>
          </w:tcPr>
          <w:p w14:paraId="73689256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66" w:type="dxa"/>
            <w:shd w:val="clear" w:color="auto" w:fill="FFC000"/>
          </w:tcPr>
          <w:p w14:paraId="0DC2EC8C" w14:textId="1937F3E3" w:rsidR="00767A9A" w:rsidRPr="00923E73" w:rsidRDefault="00435112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Advised</w:t>
            </w:r>
          </w:p>
        </w:tc>
        <w:tc>
          <w:tcPr>
            <w:tcW w:w="1883" w:type="dxa"/>
            <w:shd w:val="clear" w:color="auto" w:fill="FFC000"/>
          </w:tcPr>
          <w:p w14:paraId="09F981B7" w14:textId="46846DAB" w:rsidR="00767A9A" w:rsidRPr="00435112" w:rsidRDefault="00435112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Advised</w:t>
            </w:r>
          </w:p>
        </w:tc>
        <w:tc>
          <w:tcPr>
            <w:tcW w:w="1892" w:type="dxa"/>
            <w:shd w:val="clear" w:color="auto" w:fill="92D050"/>
          </w:tcPr>
          <w:p w14:paraId="43F20E90" w14:textId="4658F16E" w:rsidR="00767A9A" w:rsidRPr="00435112" w:rsidRDefault="007A714B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2" w:type="dxa"/>
            <w:shd w:val="clear" w:color="auto" w:fill="FFFF00"/>
          </w:tcPr>
          <w:p w14:paraId="38259649" w14:textId="05F8856F" w:rsidR="00767A9A" w:rsidRPr="00435112" w:rsidRDefault="00923E73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</w:tr>
      <w:tr w:rsidR="0053619B" w:rsidRPr="00923E73" w14:paraId="6729A751" w14:textId="77777777" w:rsidTr="009B0DBF">
        <w:tc>
          <w:tcPr>
            <w:tcW w:w="5665" w:type="dxa"/>
          </w:tcPr>
          <w:p w14:paraId="02519C5F" w14:textId="4BE64476" w:rsidR="00767A9A" w:rsidRPr="00923E73" w:rsidRDefault="00767A9A" w:rsidP="00ED3EB8">
            <w:pPr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>6) Assessment</w:t>
            </w:r>
          </w:p>
          <w:p w14:paraId="1C70196F" w14:textId="4FF2F619" w:rsidR="00767A9A" w:rsidRPr="00923E73" w:rsidRDefault="00767A9A" w:rsidP="00ED3EB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23E73">
              <w:rPr>
                <w:rFonts w:ascii="Arial" w:hAnsi="Arial" w:cs="Arial"/>
                <w:i/>
                <w:iCs/>
                <w:sz w:val="24"/>
                <w:szCs w:val="24"/>
              </w:rPr>
              <w:t>b) Cooks and Catering Staff</w:t>
            </w:r>
          </w:p>
        </w:tc>
        <w:tc>
          <w:tcPr>
            <w:tcW w:w="1595" w:type="dxa"/>
            <w:shd w:val="clear" w:color="auto" w:fill="92D050"/>
          </w:tcPr>
          <w:p w14:paraId="138C7AD6" w14:textId="4DE932DF" w:rsidR="00767A9A" w:rsidRPr="00923E73" w:rsidRDefault="007A714B" w:rsidP="007A714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23E73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2466" w:type="dxa"/>
            <w:shd w:val="clear" w:color="auto" w:fill="A6A6A6" w:themeFill="background1" w:themeFillShade="A6"/>
          </w:tcPr>
          <w:p w14:paraId="0F513079" w14:textId="77777777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3" w:type="dxa"/>
            <w:shd w:val="clear" w:color="auto" w:fill="A6A6A6" w:themeFill="background1" w:themeFillShade="A6"/>
          </w:tcPr>
          <w:p w14:paraId="38BD456F" w14:textId="77777777" w:rsidR="00767A9A" w:rsidRPr="00435112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92" w:type="dxa"/>
            <w:shd w:val="clear" w:color="auto" w:fill="FFFF00"/>
          </w:tcPr>
          <w:p w14:paraId="501D84FF" w14:textId="651C8ACC" w:rsidR="00767A9A" w:rsidRPr="00435112" w:rsidRDefault="00923E73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  <w:tc>
          <w:tcPr>
            <w:tcW w:w="1882" w:type="dxa"/>
            <w:shd w:val="clear" w:color="auto" w:fill="A6A6A6" w:themeFill="background1" w:themeFillShade="A6"/>
          </w:tcPr>
          <w:p w14:paraId="17840407" w14:textId="77777777" w:rsidR="00767A9A" w:rsidRPr="00435112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3619B" w:rsidRPr="00923E73" w14:paraId="12082089" w14:textId="77777777" w:rsidTr="00435112">
        <w:tc>
          <w:tcPr>
            <w:tcW w:w="5665" w:type="dxa"/>
          </w:tcPr>
          <w:p w14:paraId="4E18A896" w14:textId="36D80349" w:rsidR="00767A9A" w:rsidRPr="00923E73" w:rsidRDefault="00767A9A" w:rsidP="00C27788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923E73">
              <w:rPr>
                <w:rFonts w:ascii="Arial" w:hAnsi="Arial" w:cs="Arial"/>
                <w:sz w:val="28"/>
                <w:szCs w:val="28"/>
              </w:rPr>
              <w:t>7) Dysphagia and Medicines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23085E5B" w14:textId="21F4B714" w:rsidR="00767A9A" w:rsidRPr="00923E73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bottom"/>
          </w:tcPr>
          <w:p w14:paraId="13189710" w14:textId="2C7195EE" w:rsidR="00767A9A" w:rsidRPr="00435112" w:rsidRDefault="00767A9A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14:paraId="3167F7A9" w14:textId="66F430CD" w:rsidR="00767A9A" w:rsidRPr="00435112" w:rsidRDefault="00435112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Advised</w:t>
            </w:r>
          </w:p>
        </w:tc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</w:tcPr>
          <w:p w14:paraId="7C94E6BB" w14:textId="58ABB707" w:rsidR="00767A9A" w:rsidRPr="00435112" w:rsidRDefault="007A714B" w:rsidP="00C2778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Priority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77649A0D" w14:textId="6BAC6332" w:rsidR="00767A9A" w:rsidRPr="00435112" w:rsidRDefault="00923E73" w:rsidP="00923E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5112">
              <w:rPr>
                <w:rFonts w:ascii="Arial" w:hAnsi="Arial" w:cs="Arial"/>
                <w:sz w:val="32"/>
                <w:szCs w:val="32"/>
              </w:rPr>
              <w:t>Optional</w:t>
            </w:r>
          </w:p>
        </w:tc>
      </w:tr>
    </w:tbl>
    <w:p w14:paraId="17C92346" w14:textId="77777777" w:rsidR="00300F2A" w:rsidRDefault="00300F2A" w:rsidP="00300F2A">
      <w:pPr>
        <w:tabs>
          <w:tab w:val="left" w:pos="6705"/>
        </w:tabs>
        <w:rPr>
          <w:rFonts w:ascii="Arial" w:hAnsi="Arial" w:cs="Arial"/>
          <w:u w:val="single"/>
        </w:rPr>
      </w:pPr>
    </w:p>
    <w:p w14:paraId="26CBF99C" w14:textId="562EF7FA" w:rsidR="00300F2A" w:rsidRPr="00300F2A" w:rsidRDefault="00300F2A" w:rsidP="00300F2A">
      <w:pPr>
        <w:tabs>
          <w:tab w:val="left" w:pos="6705"/>
        </w:tabs>
        <w:rPr>
          <w:rFonts w:ascii="Arial" w:hAnsi="Arial" w:cs="Arial"/>
        </w:rPr>
      </w:pPr>
      <w:r w:rsidRPr="00300F2A">
        <w:rPr>
          <w:rFonts w:ascii="Arial" w:hAnsi="Arial" w:cs="Arial"/>
          <w:b/>
          <w:bCs/>
        </w:rPr>
        <w:t>Other links</w:t>
      </w:r>
      <w:r w:rsidRPr="00300F2A">
        <w:rPr>
          <w:rFonts w:ascii="Arial" w:hAnsi="Arial" w:cs="Arial"/>
        </w:rPr>
        <w:t xml:space="preserve">   </w:t>
      </w:r>
      <w:hyperlink r:id="rId7" w:history="1">
        <w:r w:rsidRPr="00A43D7B">
          <w:rPr>
            <w:rStyle w:val="Hyperlink"/>
            <w:sz w:val="28"/>
            <w:szCs w:val="28"/>
          </w:rPr>
          <w:t>https://communication-access.co.uk</w:t>
        </w:r>
      </w:hyperlink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>eLearning for communication</w:t>
      </w:r>
      <w:r>
        <w:rPr>
          <w:rFonts w:ascii="Arial" w:hAnsi="Arial" w:cs="Arial"/>
        </w:rPr>
        <w:t xml:space="preserve"> </w:t>
      </w:r>
      <w:r w:rsidRPr="00300F2A">
        <w:rPr>
          <w:rFonts w:ascii="Arial" w:hAnsi="Arial" w:cs="Arial"/>
        </w:rPr>
        <w:t>-</w:t>
      </w:r>
      <w:r w:rsidRPr="00300F2A">
        <w:rPr>
          <w:rFonts w:ascii="Arial" w:hAnsi="Arial" w:cs="Arial"/>
        </w:rPr>
        <w:t xml:space="preserve"> </w:t>
      </w:r>
      <w:r w:rsidRPr="00300F2A">
        <w:rPr>
          <w:rFonts w:ascii="Arial" w:hAnsi="Arial" w:cs="Arial"/>
          <w:color w:val="000000"/>
          <w:shd w:val="clear" w:color="auto" w:fill="FFFFFF"/>
        </w:rPr>
        <w:t>to promote awareness of communication impairments and strategies</w:t>
      </w:r>
    </w:p>
    <w:p w14:paraId="44A527BC" w14:textId="07B9538B" w:rsidR="00300F2A" w:rsidRDefault="00300F2A" w:rsidP="00300F2A">
      <w:pPr>
        <w:tabs>
          <w:tab w:val="left" w:pos="6705"/>
        </w:tabs>
        <w:rPr>
          <w:sz w:val="32"/>
          <w:szCs w:val="32"/>
        </w:rPr>
      </w:pPr>
    </w:p>
    <w:sectPr w:rsidR="00300F2A" w:rsidSect="00767A9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0FBB" w14:textId="77777777" w:rsidR="00C27788" w:rsidRDefault="00C27788" w:rsidP="00C27788">
      <w:pPr>
        <w:spacing w:after="0" w:line="240" w:lineRule="auto"/>
      </w:pPr>
      <w:r>
        <w:separator/>
      </w:r>
    </w:p>
  </w:endnote>
  <w:endnote w:type="continuationSeparator" w:id="0">
    <w:p w14:paraId="0B6D542D" w14:textId="77777777" w:rsidR="00C27788" w:rsidRDefault="00C27788" w:rsidP="00C2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720A" w14:textId="3F16A49F" w:rsidR="00C27788" w:rsidRDefault="00C27788">
    <w:pPr>
      <w:pStyle w:val="Footer"/>
    </w:pPr>
    <w:r>
      <w:rPr>
        <w:noProof/>
      </w:rPr>
      <w:drawing>
        <wp:inline distT="0" distB="0" distL="0" distR="0" wp14:anchorId="5E7AE43F" wp14:editId="21E575B0">
          <wp:extent cx="2085975" cy="2476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11FA9B82" wp14:editId="54EDBA73">
          <wp:extent cx="1600200" cy="4000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0EDD" w14:textId="77777777" w:rsidR="00C27788" w:rsidRDefault="00C27788" w:rsidP="00C27788">
      <w:pPr>
        <w:spacing w:after="0" w:line="240" w:lineRule="auto"/>
      </w:pPr>
      <w:r>
        <w:separator/>
      </w:r>
    </w:p>
  </w:footnote>
  <w:footnote w:type="continuationSeparator" w:id="0">
    <w:p w14:paraId="2BD3B4FC" w14:textId="77777777" w:rsidR="00C27788" w:rsidRDefault="00C27788" w:rsidP="00C2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4F6D" w14:textId="08D3E61E" w:rsidR="00C27788" w:rsidRDefault="00467F80" w:rsidP="00C27788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2FC193" wp14:editId="4FD0E2C8">
              <wp:simplePos x="0" y="0"/>
              <wp:positionH relativeFrom="margin">
                <wp:posOffset>1934048</wp:posOffset>
              </wp:positionH>
              <wp:positionV relativeFrom="paragraph">
                <wp:posOffset>-300990</wp:posOffset>
              </wp:positionV>
              <wp:extent cx="2360930" cy="648335"/>
              <wp:effectExtent l="0" t="0" r="13335" b="184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049FF" w14:textId="77777777" w:rsidR="001D4EBF" w:rsidRDefault="00467F80" w:rsidP="00467F80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H</w:t>
                          </w:r>
                          <w:r w:rsidR="001D4EB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ealth </w:t>
                          </w: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</w:t>
                          </w:r>
                          <w:r w:rsidR="001D4EB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ducation </w:t>
                          </w: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</w:t>
                          </w:r>
                          <w:r w:rsidR="001D4EBF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ngland (HEE)</w:t>
                          </w: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090C656" w14:textId="2BDDCC38" w:rsidR="00467F80" w:rsidRPr="00923E73" w:rsidRDefault="00467F80" w:rsidP="00467F80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Dysphagia Guide eLearning</w:t>
                          </w:r>
                        </w:p>
                        <w:p w14:paraId="5D15BAA1" w14:textId="77777777" w:rsidR="00467F80" w:rsidRPr="00923E73" w:rsidRDefault="00467F80" w:rsidP="00467F80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923E73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Care home staff roles matrix</w:t>
                          </w:r>
                        </w:p>
                        <w:p w14:paraId="46A6E7CF" w14:textId="07EFCEB7" w:rsidR="00467F80" w:rsidRDefault="00467F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FC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2.3pt;margin-top:-23.7pt;width:185.9pt;height:51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">
              <v:textbox>
                <w:txbxContent>
                  <w:p w14:paraId="76F049FF" w14:textId="77777777" w:rsidR="001D4EBF" w:rsidRDefault="00467F80" w:rsidP="00467F80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>H</w:t>
                    </w:r>
                    <w:r w:rsidR="001D4EBF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ealth </w:t>
                    </w: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>E</w:t>
                    </w:r>
                    <w:r w:rsidR="001D4EBF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ducation </w:t>
                    </w: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>E</w:t>
                    </w:r>
                    <w:r w:rsidR="001D4EBF">
                      <w:rPr>
                        <w:rFonts w:ascii="Arial" w:hAnsi="Arial" w:cs="Arial"/>
                        <w:sz w:val="28"/>
                        <w:szCs w:val="28"/>
                      </w:rPr>
                      <w:t>ngland (HEE)</w:t>
                    </w: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</w:t>
                    </w:r>
                  </w:p>
                  <w:p w14:paraId="5090C656" w14:textId="2BDDCC38" w:rsidR="00467F80" w:rsidRPr="00923E73" w:rsidRDefault="00467F80" w:rsidP="00467F80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>Dysphagia Guide eLearning</w:t>
                    </w:r>
                  </w:p>
                  <w:p w14:paraId="5D15BAA1" w14:textId="77777777" w:rsidR="00467F80" w:rsidRPr="00923E73" w:rsidRDefault="00467F80" w:rsidP="00467F80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923E73">
                      <w:rPr>
                        <w:rFonts w:ascii="Arial" w:hAnsi="Arial" w:cs="Arial"/>
                        <w:sz w:val="28"/>
                        <w:szCs w:val="28"/>
                      </w:rPr>
                      <w:t>Care home staff roles matrix</w:t>
                    </w:r>
                  </w:p>
                  <w:p w14:paraId="46A6E7CF" w14:textId="07EFCEB7" w:rsidR="00467F80" w:rsidRDefault="00467F80"/>
                </w:txbxContent>
              </v:textbox>
              <w10:wrap type="square" anchorx="margin"/>
            </v:shape>
          </w:pict>
        </mc:Fallback>
      </mc:AlternateContent>
    </w:r>
    <w:r w:rsidR="00C27788">
      <w:rPr>
        <w:noProof/>
      </w:rPr>
      <w:drawing>
        <wp:inline distT="0" distB="0" distL="0" distR="0" wp14:anchorId="4C7251C3" wp14:editId="161E1042">
          <wp:extent cx="184785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B8"/>
    <w:rsid w:val="001D4EBF"/>
    <w:rsid w:val="00300F2A"/>
    <w:rsid w:val="003A5BA7"/>
    <w:rsid w:val="00435112"/>
    <w:rsid w:val="00467F80"/>
    <w:rsid w:val="0053127B"/>
    <w:rsid w:val="0053619B"/>
    <w:rsid w:val="00767A9A"/>
    <w:rsid w:val="007A714B"/>
    <w:rsid w:val="00923E73"/>
    <w:rsid w:val="00956542"/>
    <w:rsid w:val="009B0DBF"/>
    <w:rsid w:val="009C3493"/>
    <w:rsid w:val="009C51B7"/>
    <w:rsid w:val="00BD79C8"/>
    <w:rsid w:val="00C27788"/>
    <w:rsid w:val="00E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719CFC"/>
  <w15:chartTrackingRefBased/>
  <w15:docId w15:val="{6F9D7721-2771-470B-8ECD-755AF484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88"/>
  </w:style>
  <w:style w:type="paragraph" w:styleId="Footer">
    <w:name w:val="footer"/>
    <w:basedOn w:val="Normal"/>
    <w:link w:val="FooterChar"/>
    <w:uiPriority w:val="99"/>
    <w:unhideWhenUsed/>
    <w:rsid w:val="00C27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88"/>
  </w:style>
  <w:style w:type="character" w:styleId="Hyperlink">
    <w:name w:val="Hyperlink"/>
    <w:basedOn w:val="DefaultParagraphFont"/>
    <w:uiPriority w:val="99"/>
    <w:unhideWhenUsed/>
    <w:rsid w:val="00467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F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6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020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694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76">
          <w:marLeft w:val="0"/>
          <w:marRight w:val="12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-acces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lfh.org.uk/programmes/dysphagiaguid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Angela (ELHT) Speech &amp; Language Therapy</dc:creator>
  <cp:keywords/>
  <dc:description/>
  <cp:lastModifiedBy>Robinson Angela (ELHT) Speech &amp; Language Therapy</cp:lastModifiedBy>
  <cp:revision>23</cp:revision>
  <dcterms:created xsi:type="dcterms:W3CDTF">2022-05-11T16:52:00Z</dcterms:created>
  <dcterms:modified xsi:type="dcterms:W3CDTF">2022-06-07T17:59:00Z</dcterms:modified>
</cp:coreProperties>
</file>